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7"/>
        <w:gridCol w:w="3584"/>
        <w:gridCol w:w="3579"/>
      </w:tblGrid>
      <w:tr>
        <w:trPr>
          <w:trHeight w:val="748" w:hRule="atLeast"/>
        </w:trPr>
        <w:tc>
          <w:tcPr>
            <w:tcW w:w="3617" w:type="dxa"/>
            <w:tcBorders>
              <w:right w:val="nil"/>
            </w:tcBorders>
            <w:shd w:val="clear" w:color="auto" w:fill="FF9933"/>
          </w:tcPr>
          <w:p>
            <w:pPr>
              <w:pStyle w:val="TableParagraph"/>
              <w:spacing w:line="213" w:lineRule="auto" w:before="113"/>
              <w:ind w:left="327" w:right="634"/>
              <w:rPr>
                <w:sz w:val="24"/>
              </w:rPr>
            </w:pPr>
            <w:r>
              <w:rPr>
                <w:color w:val="DDDDDD"/>
                <w:sz w:val="24"/>
              </w:rPr>
              <w:t>大乘五大部外重译经·第0190部</w:t>
            </w:r>
          </w:p>
        </w:tc>
        <w:tc>
          <w:tcPr>
            <w:tcW w:w="3584" w:type="dxa"/>
            <w:tcBorders>
              <w:left w:val="nil"/>
              <w:right w:val="nil"/>
            </w:tcBorders>
            <w:shd w:val="clear" w:color="auto" w:fill="FF9933"/>
          </w:tcPr>
          <w:p>
            <w:pPr>
              <w:pStyle w:val="TableParagraph"/>
              <w:spacing w:before="86"/>
              <w:ind w:left="821"/>
              <w:rPr>
                <w:sz w:val="24"/>
              </w:rPr>
            </w:pPr>
            <w:r>
              <w:rPr>
                <w:color w:val="EDFFFF"/>
                <w:sz w:val="24"/>
              </w:rPr>
              <w:t>佛说无希望经一卷</w:t>
            </w:r>
          </w:p>
        </w:tc>
        <w:tc>
          <w:tcPr>
            <w:tcW w:w="3579" w:type="dxa"/>
            <w:tcBorders>
              <w:left w:val="nil"/>
            </w:tcBorders>
            <w:shd w:val="clear" w:color="auto" w:fill="FF9933"/>
          </w:tcPr>
          <w:p>
            <w:pPr>
              <w:pStyle w:val="TableParagraph"/>
              <w:spacing w:before="86"/>
              <w:ind w:left="857"/>
              <w:rPr>
                <w:sz w:val="24"/>
              </w:rPr>
            </w:pPr>
            <w:r>
              <w:rPr>
                <w:color w:val="DDDDDD"/>
                <w:sz w:val="24"/>
              </w:rPr>
              <w:t>西晋三藏法师竺法护译</w:t>
            </w:r>
          </w:p>
        </w:tc>
      </w:tr>
      <w:tr>
        <w:trPr>
          <w:trHeight w:val="1149" w:hRule="atLeast"/>
        </w:trPr>
        <w:tc>
          <w:tcPr>
            <w:tcW w:w="3617" w:type="dxa"/>
            <w:tcBorders>
              <w:right w:val="nil"/>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TableParagraph"/>
              <w:spacing w:before="4"/>
              <w:rPr>
                <w:rFonts w:ascii="Times New Roman"/>
                <w:sz w:val="30"/>
              </w:rPr>
            </w:pPr>
          </w:p>
          <w:p>
            <w:pPr>
              <w:pStyle w:val="TableParagraph"/>
              <w:spacing w:before="0"/>
              <w:ind w:left="543"/>
              <w:rPr>
                <w:sz w:val="24"/>
              </w:rPr>
            </w:pPr>
            <w:r>
              <w:rPr>
                <w:color w:val="FF3300"/>
                <w:sz w:val="24"/>
              </w:rPr>
              <w:t>佛说无希望经</w:t>
            </w:r>
          </w:p>
        </w:tc>
        <w:tc>
          <w:tcPr>
            <w:tcW w:w="3584" w:type="dxa"/>
            <w:tcBorders>
              <w:left w:val="nil"/>
              <w:right w:val="nil"/>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p>
            <w:pPr>
              <w:pStyle w:val="TableParagraph"/>
              <w:spacing w:before="77"/>
              <w:ind w:left="277"/>
              <w:rPr>
                <w:sz w:val="24"/>
              </w:rPr>
            </w:pPr>
            <w:r>
              <w:rPr>
                <w:color w:val="993300"/>
                <w:sz w:val="24"/>
              </w:rPr>
              <w:t>一名象步经</w:t>
            </w:r>
          </w:p>
        </w:tc>
        <w:tc>
          <w:tcPr>
            <w:tcW w:w="3579" w:type="dxa"/>
            <w:tcBorders>
              <w:left w:val="nil"/>
            </w:tcBorders>
          </w:tcPr>
          <w:p>
            <w:pPr>
              <w:pStyle w:val="TableParagraph"/>
              <w:spacing w:line="213" w:lineRule="auto" w:before="113"/>
              <w:ind w:left="2006" w:right="359"/>
              <w:rPr>
                <w:sz w:val="24"/>
              </w:rPr>
            </w:pPr>
            <w:r>
              <w:rPr>
                <w:sz w:val="24"/>
              </w:rPr>
              <w:t>字体：</w:t>
            </w:r>
            <w:r>
              <w:rPr>
                <w:color w:val="FF3300"/>
                <w:sz w:val="24"/>
              </w:rPr>
              <w:t>大号中号 小号</w:t>
            </w:r>
          </w:p>
        </w:tc>
      </w:tr>
      <w:tr>
        <w:trPr>
          <w:trHeight w:val="12619" w:hRule="atLeast"/>
        </w:trPr>
        <w:tc>
          <w:tcPr>
            <w:tcW w:w="10780" w:type="dxa"/>
            <w:gridSpan w:val="3"/>
            <w:tcBorders>
              <w:bottom w:val="nil"/>
            </w:tcBorders>
          </w:tcPr>
          <w:p>
            <w:pPr>
              <w:pStyle w:val="TableParagraph"/>
              <w:spacing w:before="5"/>
              <w:rPr>
                <w:rFonts w:ascii="Times New Roman"/>
                <w:sz w:val="21"/>
              </w:rPr>
            </w:pPr>
          </w:p>
          <w:p>
            <w:pPr>
              <w:pStyle w:val="TableParagraph"/>
              <w:spacing w:line="324" w:lineRule="auto" w:before="0"/>
              <w:ind w:left="4668" w:right="4647"/>
              <w:jc w:val="center"/>
              <w:rPr>
                <w:sz w:val="24"/>
              </w:rPr>
            </w:pPr>
            <w:r>
              <w:rPr>
                <w:color w:val="FF3300"/>
                <w:sz w:val="24"/>
              </w:rPr>
              <w:t>佛说无希望经</w:t>
            </w:r>
            <w:r>
              <w:rPr>
                <w:color w:val="993300"/>
                <w:sz w:val="24"/>
              </w:rPr>
              <w:t>一名象步经</w:t>
            </w:r>
          </w:p>
          <w:p>
            <w:pPr>
              <w:pStyle w:val="TableParagraph"/>
              <w:spacing w:line="362" w:lineRule="auto" w:before="195"/>
              <w:ind w:left="327" w:right="339" w:firstLine="480"/>
              <w:jc w:val="both"/>
              <w:rPr>
                <w:sz w:val="24"/>
              </w:rPr>
            </w:pPr>
            <w:r>
              <w:rPr>
                <w:sz w:val="24"/>
              </w:rPr>
              <w:t>闻如是。一时佛游王舍城灵鹫山。与大比丘众五百人俱。菩萨六万。一切大圣神通已达。逮得总持所成辩才而无挂碍。颁宣经道常无二言。神足变化不可思议。众行备悉普无不入。其名曰无损进菩萨。度响雷震威菩萨。若夜月华菩萨。大雨电言辞菩萨。观无底度境界菩萨。起山顶菩萨。欣乐令悦菩萨。多离垢莫能当光菩萨。决众生性谊度菩萨。得坚强如金刚菩萨。于诸音响最妙菩萨。越梵威声菩萨。称自在可畏莫能犯菩萨。积诸德本如垒宝菩萨。文殊师利童真菩萨。如是上首。六万开士。</w:t>
            </w:r>
          </w:p>
          <w:p>
            <w:pPr>
              <w:pStyle w:val="TableParagraph"/>
              <w:spacing w:line="362" w:lineRule="auto" w:before="161"/>
              <w:ind w:left="327" w:right="339" w:firstLine="480"/>
              <w:jc w:val="both"/>
              <w:rPr>
                <w:sz w:val="24"/>
              </w:rPr>
            </w:pPr>
            <w:r>
              <w:rPr>
                <w:sz w:val="24"/>
              </w:rPr>
              <w:t>于诸贤者舍利弗。在于独处一心禅思。从燕坐起往诣佛所。彼时世尊坐于树下。逮寂随响三昧正定。时舍利弗住远世尊。遥见大圣威仪礼节寂然和雅。寻即求草敷一面座。而结加趺。直正其身而不倾猗适坐已竟心自念言。至未曾有。如来至真威神光仪不可称载。安隐道本。由是之故群生得安。所可逮致无上正慧咨嗟功勋。皆了诸法无不通达。于时大圣静然安和。从三昧起声扬发音。时舍利弗。闻佛世尊声扬发音。善心生焉。得其本愿。前进佛所一心而住。稽首归命志怀踊跃。寻叹此偈。而赞颂曰。</w:t>
            </w:r>
          </w:p>
          <w:p>
            <w:pPr>
              <w:pStyle w:val="TableParagraph"/>
              <w:spacing w:line="362" w:lineRule="auto" w:before="162"/>
              <w:ind w:left="808" w:right="6105"/>
              <w:jc w:val="both"/>
              <w:rPr>
                <w:sz w:val="24"/>
              </w:rPr>
            </w:pPr>
            <w:r>
              <w:rPr>
                <w:sz w:val="24"/>
              </w:rPr>
              <w:t>若有众生   不怀希望    未曾着念于诸经典   游步世间    平等独欢则能常忍   于斯经法    众生无能见其瑕短   斯等信解    如幻自然选择诸法   了如虚空    不见吾我尔乃大安   其不思想    一切众生不念众生   若无众生    未曾逮得一切思想   不见吾我    尔乃大安从始已来   不相合会    不为有相之所迷惑   不令兴立    亦无所住不见寿命 尔乃安隐 若有明智</w:t>
            </w:r>
          </w:p>
        </w:tc>
      </w:tr>
    </w:tbl>
    <w:p>
      <w:pPr>
        <w:spacing w:after="0" w:line="362" w:lineRule="auto"/>
        <w:jc w:val="both"/>
        <w:rPr>
          <w:sz w:val="24"/>
        </w:rPr>
        <w:sectPr>
          <w:type w:val="continuous"/>
          <w:pgSz w:w="12240" w:h="15840"/>
          <w:pgMar w:top="700" w:bottom="280" w:left="580" w:right="640"/>
        </w:sectPr>
      </w:pPr>
    </w:p>
    <w:p>
      <w:pPr>
        <w:pStyle w:val="BodyText"/>
        <w:ind w:left="0" w:right="0"/>
        <w:rPr>
          <w:rFonts w:ascii="Times New Roman"/>
          <w:sz w:val="9"/>
        </w:rPr>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不猗众生</w:t>
            </w:r>
          </w:p>
        </w:tc>
        <w:tc>
          <w:tcPr>
            <w:tcW w:w="1441" w:type="dxa"/>
          </w:tcPr>
          <w:p>
            <w:pPr>
              <w:pStyle w:val="TableParagraph"/>
              <w:spacing w:line="274" w:lineRule="exact" w:before="0"/>
              <w:ind w:left="221" w:right="220"/>
              <w:jc w:val="center"/>
              <w:rPr>
                <w:sz w:val="24"/>
              </w:rPr>
            </w:pPr>
            <w:r>
              <w:rPr>
                <w:sz w:val="24"/>
              </w:rPr>
              <w:t>则于法界</w:t>
            </w:r>
          </w:p>
        </w:tc>
        <w:tc>
          <w:tcPr>
            <w:tcW w:w="1251" w:type="dxa"/>
          </w:tcPr>
          <w:p>
            <w:pPr>
              <w:pStyle w:val="TableParagraph"/>
              <w:spacing w:line="274" w:lineRule="exact" w:before="0"/>
              <w:ind w:right="46"/>
              <w:jc w:val="right"/>
              <w:rPr>
                <w:sz w:val="24"/>
              </w:rPr>
            </w:pPr>
            <w:r>
              <w:rPr>
                <w:sz w:val="24"/>
              </w:rPr>
              <w:t>而无斗诤</w:t>
            </w:r>
          </w:p>
        </w:tc>
      </w:tr>
      <w:tr>
        <w:trPr>
          <w:trHeight w:val="464" w:hRule="atLeast"/>
        </w:trPr>
        <w:tc>
          <w:tcPr>
            <w:tcW w:w="1251" w:type="dxa"/>
          </w:tcPr>
          <w:p>
            <w:pPr>
              <w:pStyle w:val="TableParagraph"/>
              <w:ind w:left="50"/>
              <w:rPr>
                <w:sz w:val="24"/>
              </w:rPr>
            </w:pPr>
            <w:r>
              <w:rPr>
                <w:sz w:val="24"/>
              </w:rPr>
              <w:t>弃捐一切</w:t>
            </w:r>
          </w:p>
        </w:tc>
        <w:tc>
          <w:tcPr>
            <w:tcW w:w="1441" w:type="dxa"/>
          </w:tcPr>
          <w:p>
            <w:pPr>
              <w:pStyle w:val="TableParagraph"/>
              <w:ind w:left="221" w:right="220"/>
              <w:jc w:val="center"/>
              <w:rPr>
                <w:sz w:val="24"/>
              </w:rPr>
            </w:pPr>
            <w:r>
              <w:rPr>
                <w:sz w:val="24"/>
              </w:rPr>
              <w:t>众人之想</w:t>
            </w:r>
          </w:p>
        </w:tc>
        <w:tc>
          <w:tcPr>
            <w:tcW w:w="1251" w:type="dxa"/>
          </w:tcPr>
          <w:p>
            <w:pPr>
              <w:pStyle w:val="TableParagraph"/>
              <w:ind w:right="46"/>
              <w:jc w:val="right"/>
              <w:rPr>
                <w:sz w:val="24"/>
              </w:rPr>
            </w:pPr>
            <w:r>
              <w:rPr>
                <w:sz w:val="24"/>
              </w:rPr>
              <w:t>无若干念</w:t>
            </w:r>
          </w:p>
        </w:tc>
      </w:tr>
      <w:tr>
        <w:trPr>
          <w:trHeight w:val="464" w:hRule="atLeast"/>
        </w:trPr>
        <w:tc>
          <w:tcPr>
            <w:tcW w:w="1251" w:type="dxa"/>
          </w:tcPr>
          <w:p>
            <w:pPr>
              <w:pStyle w:val="TableParagraph"/>
              <w:ind w:left="50"/>
              <w:rPr>
                <w:sz w:val="24"/>
              </w:rPr>
            </w:pPr>
            <w:r>
              <w:rPr>
                <w:sz w:val="24"/>
              </w:rPr>
              <w:t>乃为安隐</w:t>
            </w:r>
          </w:p>
        </w:tc>
        <w:tc>
          <w:tcPr>
            <w:tcW w:w="1441" w:type="dxa"/>
          </w:tcPr>
          <w:p>
            <w:pPr>
              <w:pStyle w:val="TableParagraph"/>
              <w:ind w:left="221" w:right="220"/>
              <w:jc w:val="center"/>
              <w:rPr>
                <w:sz w:val="24"/>
              </w:rPr>
            </w:pPr>
            <w:r>
              <w:rPr>
                <w:sz w:val="24"/>
              </w:rPr>
              <w:t>其常建立</w:t>
            </w:r>
          </w:p>
        </w:tc>
        <w:tc>
          <w:tcPr>
            <w:tcW w:w="1251" w:type="dxa"/>
          </w:tcPr>
          <w:p>
            <w:pPr>
              <w:pStyle w:val="TableParagraph"/>
              <w:ind w:right="46"/>
              <w:jc w:val="right"/>
              <w:rPr>
                <w:sz w:val="24"/>
              </w:rPr>
            </w:pPr>
            <w:r>
              <w:rPr>
                <w:sz w:val="24"/>
              </w:rPr>
              <w:t>于禁戒者</w:t>
            </w:r>
          </w:p>
        </w:tc>
      </w:tr>
      <w:tr>
        <w:trPr>
          <w:trHeight w:val="464" w:hRule="atLeast"/>
        </w:trPr>
        <w:tc>
          <w:tcPr>
            <w:tcW w:w="1251" w:type="dxa"/>
          </w:tcPr>
          <w:p>
            <w:pPr>
              <w:pStyle w:val="TableParagraph"/>
              <w:ind w:left="50"/>
              <w:rPr>
                <w:sz w:val="24"/>
              </w:rPr>
            </w:pPr>
            <w:r>
              <w:rPr>
                <w:sz w:val="24"/>
              </w:rPr>
              <w:t>能仁一切</w:t>
            </w:r>
          </w:p>
        </w:tc>
        <w:tc>
          <w:tcPr>
            <w:tcW w:w="1441" w:type="dxa"/>
          </w:tcPr>
          <w:p>
            <w:pPr>
              <w:pStyle w:val="TableParagraph"/>
              <w:ind w:left="221" w:right="220"/>
              <w:jc w:val="center"/>
              <w:rPr>
                <w:sz w:val="24"/>
              </w:rPr>
            </w:pPr>
            <w:r>
              <w:rPr>
                <w:sz w:val="24"/>
              </w:rPr>
              <w:t>不怀悭嫉</w:t>
            </w:r>
          </w:p>
        </w:tc>
        <w:tc>
          <w:tcPr>
            <w:tcW w:w="1251" w:type="dxa"/>
          </w:tcPr>
          <w:p>
            <w:pPr>
              <w:pStyle w:val="TableParagraph"/>
              <w:ind w:right="46"/>
              <w:jc w:val="right"/>
              <w:rPr>
                <w:sz w:val="24"/>
              </w:rPr>
            </w:pPr>
            <w:r>
              <w:rPr>
                <w:sz w:val="24"/>
              </w:rPr>
              <w:t>而生于法</w:t>
            </w:r>
          </w:p>
        </w:tc>
      </w:tr>
      <w:tr>
        <w:trPr>
          <w:trHeight w:val="464" w:hRule="atLeast"/>
        </w:trPr>
        <w:tc>
          <w:tcPr>
            <w:tcW w:w="1251" w:type="dxa"/>
          </w:tcPr>
          <w:p>
            <w:pPr>
              <w:pStyle w:val="TableParagraph"/>
              <w:ind w:left="50"/>
              <w:rPr>
                <w:sz w:val="24"/>
              </w:rPr>
            </w:pPr>
            <w:r>
              <w:rPr>
                <w:sz w:val="24"/>
              </w:rPr>
              <w:t>无有计数</w:t>
            </w:r>
          </w:p>
        </w:tc>
        <w:tc>
          <w:tcPr>
            <w:tcW w:w="1441" w:type="dxa"/>
          </w:tcPr>
          <w:p>
            <w:pPr>
              <w:pStyle w:val="TableParagraph"/>
              <w:ind w:left="221" w:right="220"/>
              <w:jc w:val="center"/>
              <w:rPr>
                <w:sz w:val="24"/>
              </w:rPr>
            </w:pPr>
            <w:r>
              <w:rPr>
                <w:sz w:val="24"/>
              </w:rPr>
              <w:t>不见怯弱</w:t>
            </w:r>
          </w:p>
        </w:tc>
        <w:tc>
          <w:tcPr>
            <w:tcW w:w="1251" w:type="dxa"/>
          </w:tcPr>
          <w:p>
            <w:pPr>
              <w:pStyle w:val="TableParagraph"/>
              <w:ind w:right="46"/>
              <w:jc w:val="right"/>
              <w:rPr>
                <w:sz w:val="24"/>
              </w:rPr>
            </w:pPr>
            <w:r>
              <w:rPr>
                <w:sz w:val="24"/>
              </w:rPr>
              <w:t>尔乃为安</w:t>
            </w:r>
          </w:p>
        </w:tc>
      </w:tr>
      <w:tr>
        <w:trPr>
          <w:trHeight w:val="464" w:hRule="atLeast"/>
        </w:trPr>
        <w:tc>
          <w:tcPr>
            <w:tcW w:w="1251" w:type="dxa"/>
          </w:tcPr>
          <w:p>
            <w:pPr>
              <w:pStyle w:val="TableParagraph"/>
              <w:ind w:left="50"/>
              <w:rPr>
                <w:sz w:val="24"/>
              </w:rPr>
            </w:pPr>
            <w:r>
              <w:rPr>
                <w:sz w:val="24"/>
              </w:rPr>
              <w:t>若以忍辱</w:t>
            </w:r>
          </w:p>
        </w:tc>
        <w:tc>
          <w:tcPr>
            <w:tcW w:w="1441" w:type="dxa"/>
          </w:tcPr>
          <w:p>
            <w:pPr>
              <w:pStyle w:val="TableParagraph"/>
              <w:ind w:left="221" w:right="220"/>
              <w:jc w:val="center"/>
              <w:rPr>
                <w:sz w:val="24"/>
              </w:rPr>
            </w:pPr>
            <w:r>
              <w:rPr>
                <w:sz w:val="24"/>
              </w:rPr>
              <w:t>安和超众</w:t>
            </w:r>
          </w:p>
        </w:tc>
        <w:tc>
          <w:tcPr>
            <w:tcW w:w="1251" w:type="dxa"/>
          </w:tcPr>
          <w:p>
            <w:pPr>
              <w:pStyle w:val="TableParagraph"/>
              <w:ind w:right="46"/>
              <w:jc w:val="right"/>
              <w:rPr>
                <w:sz w:val="24"/>
              </w:rPr>
            </w:pPr>
            <w:r>
              <w:rPr>
                <w:sz w:val="24"/>
              </w:rPr>
              <w:t>彼未曾睹</w:t>
            </w:r>
          </w:p>
        </w:tc>
      </w:tr>
      <w:tr>
        <w:trPr>
          <w:trHeight w:val="464" w:hRule="atLeast"/>
        </w:trPr>
        <w:tc>
          <w:tcPr>
            <w:tcW w:w="1251" w:type="dxa"/>
          </w:tcPr>
          <w:p>
            <w:pPr>
              <w:pStyle w:val="TableParagraph"/>
              <w:ind w:left="50"/>
              <w:rPr>
                <w:sz w:val="24"/>
              </w:rPr>
            </w:pPr>
            <w:r>
              <w:rPr>
                <w:sz w:val="24"/>
              </w:rPr>
              <w:t>诤讼之贪</w:t>
            </w:r>
          </w:p>
        </w:tc>
        <w:tc>
          <w:tcPr>
            <w:tcW w:w="1441" w:type="dxa"/>
          </w:tcPr>
          <w:p>
            <w:pPr>
              <w:pStyle w:val="TableParagraph"/>
              <w:ind w:left="221" w:right="220"/>
              <w:jc w:val="center"/>
              <w:rPr>
                <w:sz w:val="24"/>
              </w:rPr>
            </w:pPr>
            <w:r>
              <w:rPr>
                <w:sz w:val="24"/>
              </w:rPr>
              <w:t>不得精进</w:t>
            </w:r>
          </w:p>
        </w:tc>
        <w:tc>
          <w:tcPr>
            <w:tcW w:w="1251" w:type="dxa"/>
          </w:tcPr>
          <w:p>
            <w:pPr>
              <w:pStyle w:val="TableParagraph"/>
              <w:ind w:right="46"/>
              <w:jc w:val="right"/>
              <w:rPr>
                <w:sz w:val="24"/>
              </w:rPr>
            </w:pPr>
            <w:r>
              <w:rPr>
                <w:sz w:val="24"/>
              </w:rPr>
              <w:t>亦不懈怠</w:t>
            </w:r>
          </w:p>
        </w:tc>
      </w:tr>
      <w:tr>
        <w:trPr>
          <w:trHeight w:val="464" w:hRule="atLeast"/>
        </w:trPr>
        <w:tc>
          <w:tcPr>
            <w:tcW w:w="1251" w:type="dxa"/>
          </w:tcPr>
          <w:p>
            <w:pPr>
              <w:pStyle w:val="TableParagraph"/>
              <w:ind w:left="50"/>
              <w:rPr>
                <w:sz w:val="24"/>
              </w:rPr>
            </w:pPr>
            <w:r>
              <w:rPr>
                <w:sz w:val="24"/>
              </w:rPr>
              <w:t>不想忍辱</w:t>
            </w:r>
          </w:p>
        </w:tc>
        <w:tc>
          <w:tcPr>
            <w:tcW w:w="1441" w:type="dxa"/>
          </w:tcPr>
          <w:p>
            <w:pPr>
              <w:pStyle w:val="TableParagraph"/>
              <w:ind w:left="221" w:right="220"/>
              <w:jc w:val="center"/>
              <w:rPr>
                <w:sz w:val="24"/>
              </w:rPr>
            </w:pPr>
            <w:r>
              <w:rPr>
                <w:sz w:val="24"/>
              </w:rPr>
              <w:t>尔乃为安</w:t>
            </w:r>
          </w:p>
        </w:tc>
        <w:tc>
          <w:tcPr>
            <w:tcW w:w="1251" w:type="dxa"/>
          </w:tcPr>
          <w:p>
            <w:pPr>
              <w:pStyle w:val="TableParagraph"/>
              <w:ind w:right="46"/>
              <w:jc w:val="right"/>
              <w:rPr>
                <w:sz w:val="24"/>
              </w:rPr>
            </w:pPr>
            <w:r>
              <w:rPr>
                <w:sz w:val="24"/>
              </w:rPr>
              <w:t>谛住坚固</w:t>
            </w:r>
          </w:p>
        </w:tc>
      </w:tr>
      <w:tr>
        <w:trPr>
          <w:trHeight w:val="464" w:hRule="atLeast"/>
        </w:trPr>
        <w:tc>
          <w:tcPr>
            <w:tcW w:w="1251" w:type="dxa"/>
          </w:tcPr>
          <w:p>
            <w:pPr>
              <w:pStyle w:val="TableParagraph"/>
              <w:ind w:left="50"/>
              <w:rPr>
                <w:sz w:val="24"/>
              </w:rPr>
            </w:pPr>
            <w:r>
              <w:rPr>
                <w:sz w:val="24"/>
              </w:rPr>
              <w:t>一心禅思</w:t>
            </w:r>
          </w:p>
        </w:tc>
        <w:tc>
          <w:tcPr>
            <w:tcW w:w="1441" w:type="dxa"/>
          </w:tcPr>
          <w:p>
            <w:pPr>
              <w:pStyle w:val="TableParagraph"/>
              <w:ind w:left="221" w:right="220"/>
              <w:jc w:val="center"/>
              <w:rPr>
                <w:sz w:val="24"/>
              </w:rPr>
            </w:pPr>
            <w:r>
              <w:rPr>
                <w:sz w:val="24"/>
              </w:rPr>
              <w:t>心无所念</w:t>
            </w:r>
          </w:p>
        </w:tc>
        <w:tc>
          <w:tcPr>
            <w:tcW w:w="1251" w:type="dxa"/>
          </w:tcPr>
          <w:p>
            <w:pPr>
              <w:pStyle w:val="TableParagraph"/>
              <w:ind w:right="46"/>
              <w:jc w:val="right"/>
              <w:rPr>
                <w:sz w:val="24"/>
              </w:rPr>
            </w:pPr>
            <w:r>
              <w:rPr>
                <w:sz w:val="24"/>
              </w:rPr>
              <w:t>除其烦乱</w:t>
            </w:r>
          </w:p>
        </w:tc>
      </w:tr>
      <w:tr>
        <w:trPr>
          <w:trHeight w:val="464" w:hRule="atLeast"/>
        </w:trPr>
        <w:tc>
          <w:tcPr>
            <w:tcW w:w="1251" w:type="dxa"/>
          </w:tcPr>
          <w:p>
            <w:pPr>
              <w:pStyle w:val="TableParagraph"/>
              <w:ind w:left="50"/>
              <w:rPr>
                <w:sz w:val="24"/>
              </w:rPr>
            </w:pPr>
            <w:r>
              <w:rPr>
                <w:sz w:val="24"/>
              </w:rPr>
              <w:t>晓了诸法</w:t>
            </w:r>
          </w:p>
        </w:tc>
        <w:tc>
          <w:tcPr>
            <w:tcW w:w="1441" w:type="dxa"/>
          </w:tcPr>
          <w:p>
            <w:pPr>
              <w:pStyle w:val="TableParagraph"/>
              <w:ind w:left="221" w:right="220"/>
              <w:jc w:val="center"/>
              <w:rPr>
                <w:sz w:val="24"/>
              </w:rPr>
            </w:pPr>
            <w:r>
              <w:rPr>
                <w:sz w:val="24"/>
              </w:rPr>
              <w:t>而在等定</w:t>
            </w:r>
          </w:p>
        </w:tc>
        <w:tc>
          <w:tcPr>
            <w:tcW w:w="1251" w:type="dxa"/>
          </w:tcPr>
          <w:p>
            <w:pPr>
              <w:pStyle w:val="TableParagraph"/>
              <w:ind w:right="46"/>
              <w:jc w:val="right"/>
              <w:rPr>
                <w:sz w:val="24"/>
              </w:rPr>
            </w:pPr>
            <w:r>
              <w:rPr>
                <w:sz w:val="24"/>
              </w:rPr>
              <w:t>其不想禅</w:t>
            </w:r>
          </w:p>
        </w:tc>
      </w:tr>
      <w:tr>
        <w:trPr>
          <w:trHeight w:val="464" w:hRule="atLeast"/>
        </w:trPr>
        <w:tc>
          <w:tcPr>
            <w:tcW w:w="1251" w:type="dxa"/>
          </w:tcPr>
          <w:p>
            <w:pPr>
              <w:pStyle w:val="TableParagraph"/>
              <w:ind w:left="50"/>
              <w:rPr>
                <w:sz w:val="24"/>
              </w:rPr>
            </w:pPr>
            <w:r>
              <w:rPr>
                <w:sz w:val="24"/>
              </w:rPr>
              <w:t>尔乃为安</w:t>
            </w:r>
          </w:p>
        </w:tc>
        <w:tc>
          <w:tcPr>
            <w:tcW w:w="1441" w:type="dxa"/>
          </w:tcPr>
          <w:p>
            <w:pPr>
              <w:pStyle w:val="TableParagraph"/>
              <w:ind w:left="221" w:right="220"/>
              <w:jc w:val="center"/>
              <w:rPr>
                <w:sz w:val="24"/>
              </w:rPr>
            </w:pPr>
            <w:r>
              <w:rPr>
                <w:sz w:val="24"/>
              </w:rPr>
              <w:t>若无明达</w:t>
            </w:r>
          </w:p>
        </w:tc>
        <w:tc>
          <w:tcPr>
            <w:tcW w:w="1251" w:type="dxa"/>
          </w:tcPr>
          <w:p>
            <w:pPr>
              <w:pStyle w:val="TableParagraph"/>
              <w:ind w:right="46"/>
              <w:jc w:val="right"/>
              <w:rPr>
                <w:sz w:val="24"/>
              </w:rPr>
            </w:pPr>
            <w:r>
              <w:rPr>
                <w:sz w:val="24"/>
              </w:rPr>
              <w:t>亦无智慧</w:t>
            </w:r>
          </w:p>
        </w:tc>
      </w:tr>
      <w:tr>
        <w:trPr>
          <w:trHeight w:val="464" w:hRule="atLeast"/>
        </w:trPr>
        <w:tc>
          <w:tcPr>
            <w:tcW w:w="1251" w:type="dxa"/>
          </w:tcPr>
          <w:p>
            <w:pPr>
              <w:pStyle w:val="TableParagraph"/>
              <w:ind w:left="50"/>
              <w:rPr>
                <w:sz w:val="24"/>
              </w:rPr>
            </w:pPr>
            <w:r>
              <w:rPr>
                <w:sz w:val="24"/>
              </w:rPr>
              <w:t>亦复不从</w:t>
            </w:r>
          </w:p>
        </w:tc>
        <w:tc>
          <w:tcPr>
            <w:tcW w:w="1441" w:type="dxa"/>
          </w:tcPr>
          <w:p>
            <w:pPr>
              <w:pStyle w:val="TableParagraph"/>
              <w:ind w:left="221" w:right="220"/>
              <w:jc w:val="center"/>
              <w:rPr>
                <w:sz w:val="24"/>
              </w:rPr>
            </w:pPr>
            <w:r>
              <w:rPr>
                <w:sz w:val="24"/>
              </w:rPr>
              <w:t>无智之教</w:t>
            </w:r>
          </w:p>
        </w:tc>
        <w:tc>
          <w:tcPr>
            <w:tcW w:w="1251" w:type="dxa"/>
          </w:tcPr>
          <w:p>
            <w:pPr>
              <w:pStyle w:val="TableParagraph"/>
              <w:ind w:right="46"/>
              <w:jc w:val="right"/>
              <w:rPr>
                <w:sz w:val="24"/>
              </w:rPr>
            </w:pPr>
            <w:r>
              <w:rPr>
                <w:sz w:val="24"/>
              </w:rPr>
              <w:t>不怀了了</w:t>
            </w:r>
          </w:p>
        </w:tc>
      </w:tr>
      <w:tr>
        <w:trPr>
          <w:trHeight w:val="464" w:hRule="atLeast"/>
        </w:trPr>
        <w:tc>
          <w:tcPr>
            <w:tcW w:w="1251" w:type="dxa"/>
          </w:tcPr>
          <w:p>
            <w:pPr>
              <w:pStyle w:val="TableParagraph"/>
              <w:ind w:left="50"/>
              <w:rPr>
                <w:sz w:val="24"/>
              </w:rPr>
            </w:pPr>
            <w:r>
              <w:rPr>
                <w:sz w:val="24"/>
              </w:rPr>
              <w:t>亦无愚冥</w:t>
            </w:r>
          </w:p>
        </w:tc>
        <w:tc>
          <w:tcPr>
            <w:tcW w:w="1441" w:type="dxa"/>
          </w:tcPr>
          <w:p>
            <w:pPr>
              <w:pStyle w:val="TableParagraph"/>
              <w:ind w:left="221" w:right="220"/>
              <w:jc w:val="center"/>
              <w:rPr>
                <w:sz w:val="24"/>
              </w:rPr>
            </w:pPr>
            <w:r>
              <w:rPr>
                <w:sz w:val="24"/>
              </w:rPr>
              <w:t>无智慧想</w:t>
            </w:r>
          </w:p>
        </w:tc>
        <w:tc>
          <w:tcPr>
            <w:tcW w:w="1251" w:type="dxa"/>
          </w:tcPr>
          <w:p>
            <w:pPr>
              <w:pStyle w:val="TableParagraph"/>
              <w:ind w:right="46"/>
              <w:jc w:val="right"/>
              <w:rPr>
                <w:sz w:val="24"/>
              </w:rPr>
            </w:pPr>
            <w:r>
              <w:rPr>
                <w:sz w:val="24"/>
              </w:rPr>
              <w:t>尔乃为安</w:t>
            </w:r>
          </w:p>
        </w:tc>
      </w:tr>
      <w:tr>
        <w:trPr>
          <w:trHeight w:val="464" w:hRule="atLeast"/>
        </w:trPr>
        <w:tc>
          <w:tcPr>
            <w:tcW w:w="1251" w:type="dxa"/>
          </w:tcPr>
          <w:p>
            <w:pPr>
              <w:pStyle w:val="TableParagraph"/>
              <w:ind w:left="50"/>
              <w:rPr>
                <w:sz w:val="24"/>
              </w:rPr>
            </w:pPr>
            <w:r>
              <w:rPr>
                <w:sz w:val="24"/>
              </w:rPr>
              <w:t>如处闲居</w:t>
            </w:r>
          </w:p>
        </w:tc>
        <w:tc>
          <w:tcPr>
            <w:tcW w:w="1441" w:type="dxa"/>
          </w:tcPr>
          <w:p>
            <w:pPr>
              <w:pStyle w:val="TableParagraph"/>
              <w:ind w:left="221" w:right="220"/>
              <w:jc w:val="center"/>
              <w:rPr>
                <w:sz w:val="24"/>
              </w:rPr>
            </w:pPr>
            <w:r>
              <w:rPr>
                <w:sz w:val="24"/>
              </w:rPr>
              <w:t>聚落亦然</w:t>
            </w:r>
          </w:p>
        </w:tc>
        <w:tc>
          <w:tcPr>
            <w:tcW w:w="1251" w:type="dxa"/>
          </w:tcPr>
          <w:p>
            <w:pPr>
              <w:pStyle w:val="TableParagraph"/>
              <w:ind w:right="46"/>
              <w:jc w:val="right"/>
              <w:rPr>
                <w:sz w:val="24"/>
              </w:rPr>
            </w:pPr>
            <w:r>
              <w:rPr>
                <w:sz w:val="24"/>
              </w:rPr>
              <w:t>于斯二事</w:t>
            </w:r>
          </w:p>
        </w:tc>
      </w:tr>
      <w:tr>
        <w:trPr>
          <w:trHeight w:val="464" w:hRule="atLeast"/>
        </w:trPr>
        <w:tc>
          <w:tcPr>
            <w:tcW w:w="1251" w:type="dxa"/>
          </w:tcPr>
          <w:p>
            <w:pPr>
              <w:pStyle w:val="TableParagraph"/>
              <w:ind w:left="50"/>
              <w:rPr>
                <w:sz w:val="24"/>
              </w:rPr>
            </w:pPr>
            <w:r>
              <w:rPr>
                <w:sz w:val="24"/>
              </w:rPr>
              <w:t>而修平等</w:t>
            </w:r>
          </w:p>
        </w:tc>
        <w:tc>
          <w:tcPr>
            <w:tcW w:w="1441" w:type="dxa"/>
          </w:tcPr>
          <w:p>
            <w:pPr>
              <w:pStyle w:val="TableParagraph"/>
              <w:ind w:left="221" w:right="220"/>
              <w:jc w:val="center"/>
              <w:rPr>
                <w:sz w:val="24"/>
              </w:rPr>
            </w:pPr>
            <w:r>
              <w:rPr>
                <w:sz w:val="24"/>
              </w:rPr>
              <w:t>亦不惟恶</w:t>
            </w:r>
          </w:p>
        </w:tc>
        <w:tc>
          <w:tcPr>
            <w:tcW w:w="1251" w:type="dxa"/>
          </w:tcPr>
          <w:p>
            <w:pPr>
              <w:pStyle w:val="TableParagraph"/>
              <w:ind w:right="46"/>
              <w:jc w:val="right"/>
              <w:rPr>
                <w:sz w:val="24"/>
              </w:rPr>
            </w:pPr>
            <w:r>
              <w:rPr>
                <w:sz w:val="24"/>
              </w:rPr>
              <w:t>是为聚落</w:t>
            </w:r>
          </w:p>
        </w:tc>
      </w:tr>
      <w:tr>
        <w:trPr>
          <w:trHeight w:val="464" w:hRule="atLeast"/>
        </w:trPr>
        <w:tc>
          <w:tcPr>
            <w:tcW w:w="1251" w:type="dxa"/>
          </w:tcPr>
          <w:p>
            <w:pPr>
              <w:pStyle w:val="TableParagraph"/>
              <w:ind w:left="50"/>
              <w:rPr>
                <w:sz w:val="24"/>
              </w:rPr>
            </w:pPr>
            <w:r>
              <w:rPr>
                <w:sz w:val="24"/>
              </w:rPr>
              <w:t>不思闲居</w:t>
            </w:r>
          </w:p>
        </w:tc>
        <w:tc>
          <w:tcPr>
            <w:tcW w:w="1441" w:type="dxa"/>
          </w:tcPr>
          <w:p>
            <w:pPr>
              <w:pStyle w:val="TableParagraph"/>
              <w:ind w:left="221" w:right="220"/>
              <w:jc w:val="center"/>
              <w:rPr>
                <w:sz w:val="24"/>
              </w:rPr>
            </w:pPr>
            <w:r>
              <w:rPr>
                <w:sz w:val="24"/>
              </w:rPr>
              <w:t>是乃为安</w:t>
            </w:r>
          </w:p>
        </w:tc>
        <w:tc>
          <w:tcPr>
            <w:tcW w:w="1251" w:type="dxa"/>
          </w:tcPr>
          <w:p>
            <w:pPr>
              <w:pStyle w:val="TableParagraph"/>
              <w:ind w:right="46"/>
              <w:jc w:val="right"/>
              <w:rPr>
                <w:sz w:val="24"/>
              </w:rPr>
            </w:pPr>
            <w:r>
              <w:rPr>
                <w:sz w:val="24"/>
              </w:rPr>
              <w:t>假使行索</w:t>
            </w:r>
          </w:p>
        </w:tc>
      </w:tr>
      <w:tr>
        <w:trPr>
          <w:trHeight w:val="464" w:hRule="atLeast"/>
        </w:trPr>
        <w:tc>
          <w:tcPr>
            <w:tcW w:w="1251" w:type="dxa"/>
          </w:tcPr>
          <w:p>
            <w:pPr>
              <w:pStyle w:val="TableParagraph"/>
              <w:ind w:left="50"/>
              <w:rPr>
                <w:sz w:val="24"/>
              </w:rPr>
            </w:pPr>
            <w:r>
              <w:rPr>
                <w:sz w:val="24"/>
              </w:rPr>
              <w:t>具足分卫</w:t>
            </w:r>
          </w:p>
        </w:tc>
        <w:tc>
          <w:tcPr>
            <w:tcW w:w="1441" w:type="dxa"/>
          </w:tcPr>
          <w:p>
            <w:pPr>
              <w:pStyle w:val="TableParagraph"/>
              <w:ind w:left="221" w:right="220"/>
              <w:jc w:val="center"/>
              <w:rPr>
                <w:sz w:val="24"/>
              </w:rPr>
            </w:pPr>
            <w:r>
              <w:rPr>
                <w:sz w:val="24"/>
              </w:rPr>
              <w:t>亦不念言</w:t>
            </w:r>
          </w:p>
        </w:tc>
        <w:tc>
          <w:tcPr>
            <w:tcW w:w="1251" w:type="dxa"/>
          </w:tcPr>
          <w:p>
            <w:pPr>
              <w:pStyle w:val="TableParagraph"/>
              <w:ind w:right="46"/>
              <w:jc w:val="right"/>
              <w:rPr>
                <w:sz w:val="24"/>
              </w:rPr>
            </w:pPr>
            <w:r>
              <w:rPr>
                <w:sz w:val="24"/>
              </w:rPr>
              <w:t>吾身求食</w:t>
            </w:r>
          </w:p>
        </w:tc>
      </w:tr>
      <w:tr>
        <w:trPr>
          <w:trHeight w:val="464" w:hRule="atLeast"/>
        </w:trPr>
        <w:tc>
          <w:tcPr>
            <w:tcW w:w="1251" w:type="dxa"/>
          </w:tcPr>
          <w:p>
            <w:pPr>
              <w:pStyle w:val="TableParagraph"/>
              <w:ind w:left="50"/>
              <w:rPr>
                <w:sz w:val="24"/>
              </w:rPr>
            </w:pPr>
            <w:r>
              <w:rPr>
                <w:sz w:val="24"/>
              </w:rPr>
              <w:t>不自咨嗟</w:t>
            </w:r>
          </w:p>
        </w:tc>
        <w:tc>
          <w:tcPr>
            <w:tcW w:w="1441" w:type="dxa"/>
          </w:tcPr>
          <w:p>
            <w:pPr>
              <w:pStyle w:val="TableParagraph"/>
              <w:ind w:left="221" w:right="220"/>
              <w:jc w:val="center"/>
              <w:rPr>
                <w:sz w:val="24"/>
              </w:rPr>
            </w:pPr>
            <w:r>
              <w:rPr>
                <w:sz w:val="24"/>
              </w:rPr>
              <w:t>我行乞食</w:t>
            </w:r>
          </w:p>
        </w:tc>
        <w:tc>
          <w:tcPr>
            <w:tcW w:w="1251" w:type="dxa"/>
          </w:tcPr>
          <w:p>
            <w:pPr>
              <w:pStyle w:val="TableParagraph"/>
              <w:ind w:right="46"/>
              <w:jc w:val="right"/>
              <w:rPr>
                <w:sz w:val="24"/>
              </w:rPr>
            </w:pPr>
            <w:r>
              <w:rPr>
                <w:sz w:val="24"/>
              </w:rPr>
              <w:t>无分卫想</w:t>
            </w:r>
          </w:p>
        </w:tc>
      </w:tr>
      <w:tr>
        <w:trPr>
          <w:trHeight w:val="464" w:hRule="atLeast"/>
        </w:trPr>
        <w:tc>
          <w:tcPr>
            <w:tcW w:w="1251" w:type="dxa"/>
          </w:tcPr>
          <w:p>
            <w:pPr>
              <w:pStyle w:val="TableParagraph"/>
              <w:ind w:left="50"/>
              <w:rPr>
                <w:sz w:val="24"/>
              </w:rPr>
            </w:pPr>
            <w:r>
              <w:rPr>
                <w:sz w:val="24"/>
              </w:rPr>
              <w:t>是乃为安</w:t>
            </w:r>
          </w:p>
        </w:tc>
        <w:tc>
          <w:tcPr>
            <w:tcW w:w="1441" w:type="dxa"/>
          </w:tcPr>
          <w:p>
            <w:pPr>
              <w:pStyle w:val="TableParagraph"/>
              <w:ind w:left="221" w:right="220"/>
              <w:jc w:val="center"/>
              <w:rPr>
                <w:sz w:val="24"/>
              </w:rPr>
            </w:pPr>
            <w:r>
              <w:rPr>
                <w:sz w:val="24"/>
              </w:rPr>
              <w:t>其从久远</w:t>
            </w:r>
          </w:p>
        </w:tc>
        <w:tc>
          <w:tcPr>
            <w:tcW w:w="1251" w:type="dxa"/>
          </w:tcPr>
          <w:p>
            <w:pPr>
              <w:pStyle w:val="TableParagraph"/>
              <w:ind w:right="46"/>
              <w:jc w:val="right"/>
              <w:rPr>
                <w:sz w:val="24"/>
              </w:rPr>
            </w:pPr>
            <w:r>
              <w:rPr>
                <w:sz w:val="24"/>
              </w:rPr>
              <w:t>着弊坏衣</w:t>
            </w:r>
          </w:p>
        </w:tc>
      </w:tr>
      <w:tr>
        <w:trPr>
          <w:trHeight w:val="464" w:hRule="atLeast"/>
        </w:trPr>
        <w:tc>
          <w:tcPr>
            <w:tcW w:w="1251" w:type="dxa"/>
          </w:tcPr>
          <w:p>
            <w:pPr>
              <w:pStyle w:val="TableParagraph"/>
              <w:ind w:left="50"/>
              <w:rPr>
                <w:sz w:val="24"/>
              </w:rPr>
            </w:pPr>
            <w:r>
              <w:rPr>
                <w:sz w:val="24"/>
              </w:rPr>
              <w:t>受取执持</w:t>
            </w:r>
          </w:p>
        </w:tc>
        <w:tc>
          <w:tcPr>
            <w:tcW w:w="1441" w:type="dxa"/>
          </w:tcPr>
          <w:p>
            <w:pPr>
              <w:pStyle w:val="TableParagraph"/>
              <w:ind w:left="221" w:right="220"/>
              <w:jc w:val="center"/>
              <w:rPr>
                <w:sz w:val="24"/>
              </w:rPr>
            </w:pPr>
            <w:r>
              <w:rPr>
                <w:sz w:val="24"/>
              </w:rPr>
              <w:t>于斯身形</w:t>
            </w:r>
          </w:p>
        </w:tc>
        <w:tc>
          <w:tcPr>
            <w:tcW w:w="1251" w:type="dxa"/>
          </w:tcPr>
          <w:p>
            <w:pPr>
              <w:pStyle w:val="TableParagraph"/>
              <w:ind w:right="46"/>
              <w:jc w:val="right"/>
              <w:rPr>
                <w:sz w:val="24"/>
              </w:rPr>
            </w:pPr>
            <w:r>
              <w:rPr>
                <w:sz w:val="24"/>
              </w:rPr>
              <w:t>不自叹言</w:t>
            </w:r>
          </w:p>
        </w:tc>
      </w:tr>
      <w:tr>
        <w:trPr>
          <w:trHeight w:val="464" w:hRule="atLeast"/>
        </w:trPr>
        <w:tc>
          <w:tcPr>
            <w:tcW w:w="1251" w:type="dxa"/>
          </w:tcPr>
          <w:p>
            <w:pPr>
              <w:pStyle w:val="TableParagraph"/>
              <w:ind w:left="50"/>
              <w:rPr>
                <w:sz w:val="24"/>
              </w:rPr>
            </w:pPr>
            <w:r>
              <w:rPr>
                <w:sz w:val="24"/>
              </w:rPr>
              <w:t>我着粗服</w:t>
            </w:r>
          </w:p>
        </w:tc>
        <w:tc>
          <w:tcPr>
            <w:tcW w:w="1441" w:type="dxa"/>
          </w:tcPr>
          <w:p>
            <w:pPr>
              <w:pStyle w:val="TableParagraph"/>
              <w:ind w:left="221" w:right="220"/>
              <w:jc w:val="center"/>
              <w:rPr>
                <w:sz w:val="24"/>
              </w:rPr>
            </w:pPr>
            <w:r>
              <w:rPr>
                <w:sz w:val="24"/>
              </w:rPr>
              <w:t>不憍慢人</w:t>
            </w:r>
          </w:p>
        </w:tc>
        <w:tc>
          <w:tcPr>
            <w:tcW w:w="1251" w:type="dxa"/>
          </w:tcPr>
          <w:p>
            <w:pPr>
              <w:pStyle w:val="TableParagraph"/>
              <w:ind w:right="46"/>
              <w:jc w:val="right"/>
              <w:rPr>
                <w:sz w:val="24"/>
              </w:rPr>
            </w:pPr>
            <w:r>
              <w:rPr>
                <w:sz w:val="24"/>
              </w:rPr>
              <w:t>尔乃为安</w:t>
            </w:r>
          </w:p>
        </w:tc>
      </w:tr>
      <w:tr>
        <w:trPr>
          <w:trHeight w:val="464" w:hRule="atLeast"/>
        </w:trPr>
        <w:tc>
          <w:tcPr>
            <w:tcW w:w="1251" w:type="dxa"/>
          </w:tcPr>
          <w:p>
            <w:pPr>
              <w:pStyle w:val="TableParagraph"/>
              <w:ind w:left="50"/>
              <w:rPr>
                <w:sz w:val="24"/>
              </w:rPr>
            </w:pPr>
            <w:r>
              <w:rPr>
                <w:sz w:val="24"/>
              </w:rPr>
              <w:t>诸佛所教</w:t>
            </w:r>
          </w:p>
        </w:tc>
        <w:tc>
          <w:tcPr>
            <w:tcW w:w="1441" w:type="dxa"/>
          </w:tcPr>
          <w:p>
            <w:pPr>
              <w:pStyle w:val="TableParagraph"/>
              <w:ind w:left="221" w:right="220"/>
              <w:jc w:val="center"/>
              <w:rPr>
                <w:sz w:val="24"/>
              </w:rPr>
            </w:pPr>
            <w:r>
              <w:rPr>
                <w:sz w:val="24"/>
              </w:rPr>
              <w:t>安住敕示</w:t>
            </w:r>
          </w:p>
        </w:tc>
        <w:tc>
          <w:tcPr>
            <w:tcW w:w="1251" w:type="dxa"/>
          </w:tcPr>
          <w:p>
            <w:pPr>
              <w:pStyle w:val="TableParagraph"/>
              <w:ind w:right="46"/>
              <w:jc w:val="right"/>
              <w:rPr>
                <w:sz w:val="24"/>
              </w:rPr>
            </w:pPr>
            <w:r>
              <w:rPr>
                <w:sz w:val="24"/>
              </w:rPr>
              <w:t>三品之衣</w:t>
            </w:r>
          </w:p>
        </w:tc>
      </w:tr>
      <w:tr>
        <w:trPr>
          <w:trHeight w:val="464" w:hRule="atLeast"/>
        </w:trPr>
        <w:tc>
          <w:tcPr>
            <w:tcW w:w="1251" w:type="dxa"/>
          </w:tcPr>
          <w:p>
            <w:pPr>
              <w:pStyle w:val="TableParagraph"/>
              <w:ind w:left="50"/>
              <w:rPr>
                <w:sz w:val="24"/>
              </w:rPr>
            </w:pPr>
            <w:r>
              <w:rPr>
                <w:sz w:val="24"/>
              </w:rPr>
              <w:t>不离其身</w:t>
            </w:r>
          </w:p>
        </w:tc>
        <w:tc>
          <w:tcPr>
            <w:tcW w:w="1441" w:type="dxa"/>
          </w:tcPr>
          <w:p>
            <w:pPr>
              <w:pStyle w:val="TableParagraph"/>
              <w:ind w:left="221" w:right="220"/>
              <w:jc w:val="center"/>
              <w:rPr>
                <w:sz w:val="24"/>
              </w:rPr>
            </w:pPr>
            <w:r>
              <w:rPr>
                <w:sz w:val="24"/>
              </w:rPr>
              <w:t>不自想念</w:t>
            </w:r>
          </w:p>
        </w:tc>
        <w:tc>
          <w:tcPr>
            <w:tcW w:w="1251" w:type="dxa"/>
          </w:tcPr>
          <w:p>
            <w:pPr>
              <w:pStyle w:val="TableParagraph"/>
              <w:ind w:right="46"/>
              <w:jc w:val="right"/>
              <w:rPr>
                <w:sz w:val="24"/>
              </w:rPr>
            </w:pPr>
            <w:r>
              <w:rPr>
                <w:sz w:val="24"/>
              </w:rPr>
              <w:t>我不违礼</w:t>
            </w:r>
          </w:p>
        </w:tc>
      </w:tr>
      <w:tr>
        <w:trPr>
          <w:trHeight w:val="464" w:hRule="atLeast"/>
        </w:trPr>
        <w:tc>
          <w:tcPr>
            <w:tcW w:w="1251" w:type="dxa"/>
          </w:tcPr>
          <w:p>
            <w:pPr>
              <w:pStyle w:val="TableParagraph"/>
              <w:ind w:left="50"/>
              <w:rPr>
                <w:sz w:val="24"/>
              </w:rPr>
            </w:pPr>
            <w:r>
              <w:rPr>
                <w:sz w:val="24"/>
              </w:rPr>
              <w:t>不自欣豫</w:t>
            </w:r>
          </w:p>
        </w:tc>
        <w:tc>
          <w:tcPr>
            <w:tcW w:w="1441" w:type="dxa"/>
          </w:tcPr>
          <w:p>
            <w:pPr>
              <w:pStyle w:val="TableParagraph"/>
              <w:ind w:left="221" w:right="220"/>
              <w:jc w:val="center"/>
              <w:rPr>
                <w:sz w:val="24"/>
              </w:rPr>
            </w:pPr>
            <w:r>
              <w:rPr>
                <w:sz w:val="24"/>
              </w:rPr>
              <w:t>尔乃为安</w:t>
            </w:r>
          </w:p>
        </w:tc>
        <w:tc>
          <w:tcPr>
            <w:tcW w:w="1251" w:type="dxa"/>
          </w:tcPr>
          <w:p>
            <w:pPr>
              <w:pStyle w:val="TableParagraph"/>
              <w:ind w:right="46"/>
              <w:jc w:val="right"/>
              <w:rPr>
                <w:sz w:val="24"/>
              </w:rPr>
            </w:pPr>
            <w:r>
              <w:rPr>
                <w:sz w:val="24"/>
              </w:rPr>
              <w:t>其能颁宣</w:t>
            </w:r>
          </w:p>
        </w:tc>
      </w:tr>
      <w:tr>
        <w:trPr>
          <w:trHeight w:val="464" w:hRule="atLeast"/>
        </w:trPr>
        <w:tc>
          <w:tcPr>
            <w:tcW w:w="1251" w:type="dxa"/>
          </w:tcPr>
          <w:p>
            <w:pPr>
              <w:pStyle w:val="TableParagraph"/>
              <w:ind w:left="50"/>
              <w:rPr>
                <w:sz w:val="24"/>
              </w:rPr>
            </w:pPr>
            <w:r>
              <w:rPr>
                <w:sz w:val="24"/>
              </w:rPr>
              <w:t>微妙之法</w:t>
            </w:r>
          </w:p>
        </w:tc>
        <w:tc>
          <w:tcPr>
            <w:tcW w:w="1441" w:type="dxa"/>
          </w:tcPr>
          <w:p>
            <w:pPr>
              <w:pStyle w:val="TableParagraph"/>
              <w:ind w:left="221" w:right="220"/>
              <w:jc w:val="center"/>
              <w:rPr>
                <w:sz w:val="24"/>
              </w:rPr>
            </w:pPr>
            <w:r>
              <w:rPr>
                <w:sz w:val="24"/>
              </w:rPr>
              <w:t>不计吾我</w:t>
            </w:r>
          </w:p>
        </w:tc>
        <w:tc>
          <w:tcPr>
            <w:tcW w:w="1251" w:type="dxa"/>
          </w:tcPr>
          <w:p>
            <w:pPr>
              <w:pStyle w:val="TableParagraph"/>
              <w:ind w:right="46"/>
              <w:jc w:val="right"/>
              <w:rPr>
                <w:sz w:val="24"/>
              </w:rPr>
            </w:pPr>
            <w:r>
              <w:rPr>
                <w:sz w:val="24"/>
              </w:rPr>
              <w:t>不着众生</w:t>
            </w:r>
          </w:p>
        </w:tc>
      </w:tr>
      <w:tr>
        <w:trPr>
          <w:trHeight w:val="464" w:hRule="atLeast"/>
        </w:trPr>
        <w:tc>
          <w:tcPr>
            <w:tcW w:w="1251" w:type="dxa"/>
          </w:tcPr>
          <w:p>
            <w:pPr>
              <w:pStyle w:val="TableParagraph"/>
              <w:ind w:left="50"/>
              <w:rPr>
                <w:sz w:val="24"/>
              </w:rPr>
            </w:pPr>
            <w:r>
              <w:rPr>
                <w:sz w:val="24"/>
              </w:rPr>
              <w:t>不自誉言</w:t>
            </w:r>
          </w:p>
        </w:tc>
        <w:tc>
          <w:tcPr>
            <w:tcW w:w="1441" w:type="dxa"/>
          </w:tcPr>
          <w:p>
            <w:pPr>
              <w:pStyle w:val="TableParagraph"/>
              <w:ind w:left="221" w:right="220"/>
              <w:jc w:val="center"/>
              <w:rPr>
                <w:sz w:val="24"/>
              </w:rPr>
            </w:pPr>
            <w:r>
              <w:rPr>
                <w:sz w:val="24"/>
              </w:rPr>
              <w:t>我为讲法</w:t>
            </w:r>
          </w:p>
        </w:tc>
        <w:tc>
          <w:tcPr>
            <w:tcW w:w="1251" w:type="dxa"/>
          </w:tcPr>
          <w:p>
            <w:pPr>
              <w:pStyle w:val="TableParagraph"/>
              <w:ind w:right="46"/>
              <w:jc w:val="right"/>
              <w:rPr>
                <w:sz w:val="24"/>
              </w:rPr>
            </w:pPr>
            <w:r>
              <w:rPr>
                <w:sz w:val="24"/>
              </w:rPr>
              <w:t>不猗音响</w:t>
            </w:r>
          </w:p>
        </w:tc>
      </w:tr>
      <w:tr>
        <w:trPr>
          <w:trHeight w:val="464" w:hRule="atLeast"/>
        </w:trPr>
        <w:tc>
          <w:tcPr>
            <w:tcW w:w="1251" w:type="dxa"/>
          </w:tcPr>
          <w:p>
            <w:pPr>
              <w:pStyle w:val="TableParagraph"/>
              <w:ind w:left="50"/>
              <w:rPr>
                <w:sz w:val="24"/>
              </w:rPr>
            </w:pPr>
            <w:r>
              <w:rPr>
                <w:sz w:val="24"/>
              </w:rPr>
              <w:t>尔乃为安</w:t>
            </w:r>
          </w:p>
        </w:tc>
        <w:tc>
          <w:tcPr>
            <w:tcW w:w="1441" w:type="dxa"/>
          </w:tcPr>
          <w:p>
            <w:pPr>
              <w:pStyle w:val="TableParagraph"/>
              <w:ind w:left="221" w:right="220"/>
              <w:jc w:val="center"/>
              <w:rPr>
                <w:sz w:val="24"/>
              </w:rPr>
            </w:pPr>
            <w:r>
              <w:rPr>
                <w:sz w:val="24"/>
              </w:rPr>
              <w:t>于诸德本</w:t>
            </w:r>
          </w:p>
        </w:tc>
        <w:tc>
          <w:tcPr>
            <w:tcW w:w="1251" w:type="dxa"/>
          </w:tcPr>
          <w:p>
            <w:pPr>
              <w:pStyle w:val="TableParagraph"/>
              <w:ind w:right="46"/>
              <w:jc w:val="right"/>
              <w:rPr>
                <w:sz w:val="24"/>
              </w:rPr>
            </w:pPr>
            <w:r>
              <w:rPr>
                <w:sz w:val="24"/>
              </w:rPr>
              <w:t>不怀妄想</w:t>
            </w:r>
          </w:p>
        </w:tc>
      </w:tr>
      <w:tr>
        <w:trPr>
          <w:trHeight w:val="464" w:hRule="atLeast"/>
        </w:trPr>
        <w:tc>
          <w:tcPr>
            <w:tcW w:w="1251" w:type="dxa"/>
          </w:tcPr>
          <w:p>
            <w:pPr>
              <w:pStyle w:val="TableParagraph"/>
              <w:ind w:left="50"/>
              <w:rPr>
                <w:sz w:val="24"/>
              </w:rPr>
            </w:pPr>
            <w:r>
              <w:rPr>
                <w:sz w:val="24"/>
              </w:rPr>
              <w:t>无坚固想</w:t>
            </w:r>
          </w:p>
        </w:tc>
        <w:tc>
          <w:tcPr>
            <w:tcW w:w="1441" w:type="dxa"/>
          </w:tcPr>
          <w:p>
            <w:pPr>
              <w:pStyle w:val="TableParagraph"/>
              <w:ind w:left="221" w:right="220"/>
              <w:jc w:val="center"/>
              <w:rPr>
                <w:sz w:val="24"/>
              </w:rPr>
            </w:pPr>
            <w:r>
              <w:rPr>
                <w:sz w:val="24"/>
              </w:rPr>
              <w:t>不念居业</w:t>
            </w:r>
          </w:p>
        </w:tc>
        <w:tc>
          <w:tcPr>
            <w:tcW w:w="1251" w:type="dxa"/>
          </w:tcPr>
          <w:p>
            <w:pPr>
              <w:pStyle w:val="TableParagraph"/>
              <w:ind w:right="46"/>
              <w:jc w:val="right"/>
              <w:rPr>
                <w:sz w:val="24"/>
              </w:rPr>
            </w:pPr>
            <w:r>
              <w:rPr>
                <w:sz w:val="24"/>
              </w:rPr>
              <w:t>心中所怀</w:t>
            </w:r>
          </w:p>
        </w:tc>
      </w:tr>
      <w:tr>
        <w:trPr>
          <w:trHeight w:val="464" w:hRule="atLeast"/>
        </w:trPr>
        <w:tc>
          <w:tcPr>
            <w:tcW w:w="1251" w:type="dxa"/>
          </w:tcPr>
          <w:p>
            <w:pPr>
              <w:pStyle w:val="TableParagraph"/>
              <w:ind w:left="50"/>
              <w:rPr>
                <w:sz w:val="24"/>
              </w:rPr>
            </w:pPr>
            <w:r>
              <w:rPr>
                <w:sz w:val="24"/>
              </w:rPr>
              <w:t>不思清浊</w:t>
            </w:r>
          </w:p>
        </w:tc>
        <w:tc>
          <w:tcPr>
            <w:tcW w:w="1441" w:type="dxa"/>
          </w:tcPr>
          <w:p>
            <w:pPr>
              <w:pStyle w:val="TableParagraph"/>
              <w:ind w:left="221" w:right="220"/>
              <w:jc w:val="center"/>
              <w:rPr>
                <w:sz w:val="24"/>
              </w:rPr>
            </w:pPr>
            <w:r>
              <w:rPr>
                <w:sz w:val="24"/>
              </w:rPr>
              <w:t>身不造行</w:t>
            </w:r>
          </w:p>
        </w:tc>
        <w:tc>
          <w:tcPr>
            <w:tcW w:w="1251" w:type="dxa"/>
          </w:tcPr>
          <w:p>
            <w:pPr>
              <w:pStyle w:val="TableParagraph"/>
              <w:ind w:right="46"/>
              <w:jc w:val="right"/>
              <w:rPr>
                <w:sz w:val="24"/>
              </w:rPr>
            </w:pPr>
            <w:r>
              <w:rPr>
                <w:sz w:val="24"/>
              </w:rPr>
              <w:t>是乃为安</w:t>
            </w:r>
          </w:p>
        </w:tc>
      </w:tr>
      <w:tr>
        <w:trPr>
          <w:trHeight w:val="464" w:hRule="atLeast"/>
        </w:trPr>
        <w:tc>
          <w:tcPr>
            <w:tcW w:w="1251" w:type="dxa"/>
          </w:tcPr>
          <w:p>
            <w:pPr>
              <w:pStyle w:val="TableParagraph"/>
              <w:ind w:left="50"/>
              <w:rPr>
                <w:sz w:val="24"/>
              </w:rPr>
            </w:pPr>
            <w:r>
              <w:rPr>
                <w:sz w:val="24"/>
              </w:rPr>
              <w:t>若以兴起</w:t>
            </w:r>
          </w:p>
        </w:tc>
        <w:tc>
          <w:tcPr>
            <w:tcW w:w="1441" w:type="dxa"/>
          </w:tcPr>
          <w:p>
            <w:pPr>
              <w:pStyle w:val="TableParagraph"/>
              <w:ind w:left="221" w:right="220"/>
              <w:jc w:val="center"/>
              <w:rPr>
                <w:sz w:val="24"/>
              </w:rPr>
            </w:pPr>
            <w:r>
              <w:rPr>
                <w:sz w:val="24"/>
              </w:rPr>
              <w:t>无兴起想</w:t>
            </w:r>
          </w:p>
        </w:tc>
        <w:tc>
          <w:tcPr>
            <w:tcW w:w="1251" w:type="dxa"/>
          </w:tcPr>
          <w:p>
            <w:pPr>
              <w:pStyle w:val="TableParagraph"/>
              <w:ind w:right="46"/>
              <w:jc w:val="right"/>
              <w:rPr>
                <w:sz w:val="24"/>
              </w:rPr>
            </w:pPr>
            <w:r>
              <w:rPr>
                <w:sz w:val="24"/>
              </w:rPr>
              <w:t>有所住立</w:t>
            </w:r>
          </w:p>
        </w:tc>
      </w:tr>
      <w:tr>
        <w:trPr>
          <w:trHeight w:val="352" w:hRule="atLeast"/>
        </w:trPr>
        <w:tc>
          <w:tcPr>
            <w:tcW w:w="1251" w:type="dxa"/>
          </w:tcPr>
          <w:p>
            <w:pPr>
              <w:pStyle w:val="TableParagraph"/>
              <w:spacing w:line="254" w:lineRule="exact"/>
              <w:ind w:left="50"/>
              <w:rPr>
                <w:sz w:val="24"/>
              </w:rPr>
            </w:pPr>
            <w:r>
              <w:rPr>
                <w:sz w:val="24"/>
              </w:rPr>
              <w:t>不想其处</w:t>
            </w:r>
          </w:p>
        </w:tc>
        <w:tc>
          <w:tcPr>
            <w:tcW w:w="1441" w:type="dxa"/>
          </w:tcPr>
          <w:p>
            <w:pPr>
              <w:pStyle w:val="TableParagraph"/>
              <w:spacing w:line="254" w:lineRule="exact"/>
              <w:ind w:left="221" w:right="220"/>
              <w:jc w:val="center"/>
              <w:rPr>
                <w:sz w:val="24"/>
              </w:rPr>
            </w:pPr>
            <w:r>
              <w:rPr>
                <w:sz w:val="24"/>
              </w:rPr>
              <w:t>夙夜精进</w:t>
            </w:r>
          </w:p>
        </w:tc>
        <w:tc>
          <w:tcPr>
            <w:tcW w:w="1251" w:type="dxa"/>
          </w:tcPr>
          <w:p>
            <w:pPr>
              <w:pStyle w:val="TableParagraph"/>
              <w:spacing w:line="254" w:lineRule="exact"/>
              <w:ind w:right="46"/>
              <w:jc w:val="right"/>
              <w:rPr>
                <w:sz w:val="24"/>
              </w:rPr>
            </w:pPr>
            <w:r>
              <w:rPr>
                <w:sz w:val="24"/>
              </w:rPr>
              <w:t>经行应节</w:t>
            </w:r>
          </w:p>
        </w:tc>
      </w:tr>
    </w:tbl>
    <w:p>
      <w:pPr>
        <w:spacing w:after="0" w:line="254" w:lineRule="exact"/>
        <w:jc w:val="right"/>
        <w:rPr>
          <w:sz w:val="24"/>
        </w:rPr>
        <w:sectPr>
          <w:pgSz w:w="12240" w:h="15840"/>
          <w:pgMar w:top="580" w:bottom="280" w:left="580" w:right="640"/>
        </w:sectPr>
      </w:pPr>
    </w:p>
    <w:p>
      <w:pPr>
        <w:pStyle w:val="BodyText"/>
        <w:ind w:left="0" w:right="0"/>
        <w:rPr>
          <w:rFonts w:ascii="Times New Roman"/>
          <w:sz w:val="9"/>
        </w:rPr>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其无言辞</w:t>
            </w:r>
          </w:p>
        </w:tc>
        <w:tc>
          <w:tcPr>
            <w:tcW w:w="1441" w:type="dxa"/>
          </w:tcPr>
          <w:p>
            <w:pPr>
              <w:pStyle w:val="TableParagraph"/>
              <w:spacing w:line="274" w:lineRule="exact" w:before="0"/>
              <w:ind w:left="221" w:right="220"/>
              <w:jc w:val="center"/>
              <w:rPr>
                <w:sz w:val="24"/>
              </w:rPr>
            </w:pPr>
            <w:r>
              <w:rPr>
                <w:sz w:val="24"/>
              </w:rPr>
              <w:t>是乃为安</w:t>
            </w:r>
          </w:p>
        </w:tc>
        <w:tc>
          <w:tcPr>
            <w:tcW w:w="1251" w:type="dxa"/>
          </w:tcPr>
          <w:p>
            <w:pPr>
              <w:pStyle w:val="TableParagraph"/>
              <w:spacing w:line="274" w:lineRule="exact" w:before="0"/>
              <w:ind w:right="46"/>
              <w:jc w:val="right"/>
              <w:rPr>
                <w:sz w:val="24"/>
              </w:rPr>
            </w:pPr>
            <w:r>
              <w:rPr>
                <w:sz w:val="24"/>
              </w:rPr>
              <w:t>设不思念</w:t>
            </w:r>
          </w:p>
        </w:tc>
      </w:tr>
      <w:tr>
        <w:trPr>
          <w:trHeight w:val="464" w:hRule="atLeast"/>
        </w:trPr>
        <w:tc>
          <w:tcPr>
            <w:tcW w:w="1251" w:type="dxa"/>
          </w:tcPr>
          <w:p>
            <w:pPr>
              <w:pStyle w:val="TableParagraph"/>
              <w:ind w:left="50"/>
              <w:rPr>
                <w:sz w:val="24"/>
              </w:rPr>
            </w:pPr>
            <w:r>
              <w:rPr>
                <w:sz w:val="24"/>
              </w:rPr>
              <w:t>作与不作</w:t>
            </w:r>
          </w:p>
        </w:tc>
        <w:tc>
          <w:tcPr>
            <w:tcW w:w="1441" w:type="dxa"/>
          </w:tcPr>
          <w:p>
            <w:pPr>
              <w:pStyle w:val="TableParagraph"/>
              <w:ind w:left="221" w:right="220"/>
              <w:jc w:val="center"/>
              <w:rPr>
                <w:sz w:val="24"/>
              </w:rPr>
            </w:pPr>
            <w:r>
              <w:rPr>
                <w:sz w:val="24"/>
              </w:rPr>
              <w:t>常无妄想</w:t>
            </w:r>
          </w:p>
        </w:tc>
        <w:tc>
          <w:tcPr>
            <w:tcW w:w="1251" w:type="dxa"/>
          </w:tcPr>
          <w:p>
            <w:pPr>
              <w:pStyle w:val="TableParagraph"/>
              <w:ind w:right="46"/>
              <w:jc w:val="right"/>
              <w:rPr>
                <w:sz w:val="24"/>
              </w:rPr>
            </w:pPr>
            <w:r>
              <w:rPr>
                <w:sz w:val="24"/>
              </w:rPr>
              <w:t>奇特之念</w:t>
            </w:r>
          </w:p>
        </w:tc>
      </w:tr>
      <w:tr>
        <w:trPr>
          <w:trHeight w:val="464" w:hRule="atLeast"/>
        </w:trPr>
        <w:tc>
          <w:tcPr>
            <w:tcW w:w="1251" w:type="dxa"/>
          </w:tcPr>
          <w:p>
            <w:pPr>
              <w:pStyle w:val="TableParagraph"/>
              <w:ind w:left="50"/>
              <w:rPr>
                <w:sz w:val="24"/>
              </w:rPr>
            </w:pPr>
            <w:r>
              <w:rPr>
                <w:sz w:val="24"/>
              </w:rPr>
              <w:t>如来外学</w:t>
            </w:r>
          </w:p>
        </w:tc>
        <w:tc>
          <w:tcPr>
            <w:tcW w:w="1441" w:type="dxa"/>
          </w:tcPr>
          <w:p>
            <w:pPr>
              <w:pStyle w:val="TableParagraph"/>
              <w:ind w:left="221" w:right="220"/>
              <w:jc w:val="center"/>
              <w:rPr>
                <w:sz w:val="24"/>
              </w:rPr>
            </w:pPr>
            <w:r>
              <w:rPr>
                <w:sz w:val="24"/>
              </w:rPr>
              <w:t>不以殊别</w:t>
            </w:r>
          </w:p>
        </w:tc>
        <w:tc>
          <w:tcPr>
            <w:tcW w:w="1251" w:type="dxa"/>
          </w:tcPr>
          <w:p>
            <w:pPr>
              <w:pStyle w:val="TableParagraph"/>
              <w:ind w:right="46"/>
              <w:jc w:val="right"/>
              <w:rPr>
                <w:sz w:val="24"/>
              </w:rPr>
            </w:pPr>
            <w:r>
              <w:rPr>
                <w:sz w:val="24"/>
              </w:rPr>
              <w:t>不怀胜相</w:t>
            </w:r>
          </w:p>
        </w:tc>
      </w:tr>
      <w:tr>
        <w:trPr>
          <w:trHeight w:val="464" w:hRule="atLeast"/>
        </w:trPr>
        <w:tc>
          <w:tcPr>
            <w:tcW w:w="1251" w:type="dxa"/>
          </w:tcPr>
          <w:p>
            <w:pPr>
              <w:pStyle w:val="TableParagraph"/>
              <w:ind w:left="50"/>
              <w:rPr>
                <w:sz w:val="24"/>
              </w:rPr>
            </w:pPr>
            <w:r>
              <w:rPr>
                <w:sz w:val="24"/>
              </w:rPr>
              <w:t>是乃为安</w:t>
            </w:r>
          </w:p>
        </w:tc>
        <w:tc>
          <w:tcPr>
            <w:tcW w:w="1441" w:type="dxa"/>
          </w:tcPr>
          <w:p>
            <w:pPr>
              <w:pStyle w:val="TableParagraph"/>
              <w:ind w:left="221" w:right="220"/>
              <w:jc w:val="center"/>
              <w:rPr>
                <w:sz w:val="24"/>
              </w:rPr>
            </w:pPr>
            <w:r>
              <w:rPr>
                <w:sz w:val="24"/>
              </w:rPr>
              <w:t>其不计数</w:t>
            </w:r>
          </w:p>
        </w:tc>
        <w:tc>
          <w:tcPr>
            <w:tcW w:w="1251" w:type="dxa"/>
          </w:tcPr>
          <w:p>
            <w:pPr>
              <w:pStyle w:val="TableParagraph"/>
              <w:ind w:right="46"/>
              <w:jc w:val="right"/>
              <w:rPr>
                <w:sz w:val="24"/>
              </w:rPr>
            </w:pPr>
            <w:r>
              <w:rPr>
                <w:sz w:val="24"/>
              </w:rPr>
              <w:t>安隐之想</w:t>
            </w:r>
          </w:p>
        </w:tc>
      </w:tr>
      <w:tr>
        <w:trPr>
          <w:trHeight w:val="464" w:hRule="atLeast"/>
        </w:trPr>
        <w:tc>
          <w:tcPr>
            <w:tcW w:w="1251" w:type="dxa"/>
          </w:tcPr>
          <w:p>
            <w:pPr>
              <w:pStyle w:val="TableParagraph"/>
              <w:ind w:left="50"/>
              <w:rPr>
                <w:sz w:val="24"/>
              </w:rPr>
            </w:pPr>
            <w:r>
              <w:rPr>
                <w:sz w:val="24"/>
              </w:rPr>
              <w:t>等如虚空</w:t>
            </w:r>
          </w:p>
        </w:tc>
        <w:tc>
          <w:tcPr>
            <w:tcW w:w="1441" w:type="dxa"/>
          </w:tcPr>
          <w:p>
            <w:pPr>
              <w:pStyle w:val="TableParagraph"/>
              <w:ind w:left="221" w:right="220"/>
              <w:jc w:val="center"/>
              <w:rPr>
                <w:sz w:val="24"/>
              </w:rPr>
            </w:pPr>
            <w:r>
              <w:rPr>
                <w:sz w:val="24"/>
              </w:rPr>
              <w:t>无所踰越</w:t>
            </w:r>
          </w:p>
        </w:tc>
        <w:tc>
          <w:tcPr>
            <w:tcW w:w="1251" w:type="dxa"/>
          </w:tcPr>
          <w:p>
            <w:pPr>
              <w:pStyle w:val="TableParagraph"/>
              <w:ind w:right="46"/>
              <w:jc w:val="right"/>
              <w:rPr>
                <w:sz w:val="24"/>
              </w:rPr>
            </w:pPr>
            <w:r>
              <w:rPr>
                <w:sz w:val="24"/>
              </w:rPr>
              <w:t>心不怀念</w:t>
            </w:r>
          </w:p>
        </w:tc>
      </w:tr>
      <w:tr>
        <w:trPr>
          <w:trHeight w:val="464" w:hRule="atLeast"/>
        </w:trPr>
        <w:tc>
          <w:tcPr>
            <w:tcW w:w="1251" w:type="dxa"/>
          </w:tcPr>
          <w:p>
            <w:pPr>
              <w:pStyle w:val="TableParagraph"/>
              <w:ind w:left="50"/>
              <w:rPr>
                <w:sz w:val="24"/>
              </w:rPr>
            </w:pPr>
            <w:r>
              <w:rPr>
                <w:sz w:val="24"/>
              </w:rPr>
              <w:t>吾我众生</w:t>
            </w:r>
          </w:p>
        </w:tc>
        <w:tc>
          <w:tcPr>
            <w:tcW w:w="1441" w:type="dxa"/>
          </w:tcPr>
          <w:p>
            <w:pPr>
              <w:pStyle w:val="TableParagraph"/>
              <w:ind w:left="221" w:right="220"/>
              <w:jc w:val="center"/>
              <w:rPr>
                <w:sz w:val="24"/>
              </w:rPr>
            </w:pPr>
            <w:r>
              <w:rPr>
                <w:sz w:val="24"/>
              </w:rPr>
              <w:t>不见殊特</w:t>
            </w:r>
          </w:p>
        </w:tc>
        <w:tc>
          <w:tcPr>
            <w:tcW w:w="1251" w:type="dxa"/>
          </w:tcPr>
          <w:p>
            <w:pPr>
              <w:pStyle w:val="TableParagraph"/>
              <w:ind w:right="46"/>
              <w:jc w:val="right"/>
              <w:rPr>
                <w:sz w:val="24"/>
              </w:rPr>
            </w:pPr>
            <w:r>
              <w:rPr>
                <w:sz w:val="24"/>
              </w:rPr>
              <w:t>尔乃为安</w:t>
            </w:r>
          </w:p>
        </w:tc>
      </w:tr>
      <w:tr>
        <w:trPr>
          <w:trHeight w:val="464" w:hRule="atLeast"/>
        </w:trPr>
        <w:tc>
          <w:tcPr>
            <w:tcW w:w="1251" w:type="dxa"/>
          </w:tcPr>
          <w:p>
            <w:pPr>
              <w:pStyle w:val="TableParagraph"/>
              <w:ind w:left="50"/>
              <w:rPr>
                <w:sz w:val="24"/>
              </w:rPr>
            </w:pPr>
            <w:r>
              <w:rPr>
                <w:sz w:val="24"/>
              </w:rPr>
              <w:t>若了幻化</w:t>
            </w:r>
          </w:p>
        </w:tc>
        <w:tc>
          <w:tcPr>
            <w:tcW w:w="1441" w:type="dxa"/>
          </w:tcPr>
          <w:p>
            <w:pPr>
              <w:pStyle w:val="TableParagraph"/>
              <w:ind w:left="221" w:right="220"/>
              <w:jc w:val="center"/>
              <w:rPr>
                <w:sz w:val="24"/>
              </w:rPr>
            </w:pPr>
            <w:r>
              <w:rPr>
                <w:sz w:val="24"/>
              </w:rPr>
              <w:t>如夜所梦</w:t>
            </w:r>
          </w:p>
        </w:tc>
        <w:tc>
          <w:tcPr>
            <w:tcW w:w="1251" w:type="dxa"/>
          </w:tcPr>
          <w:p>
            <w:pPr>
              <w:pStyle w:val="TableParagraph"/>
              <w:ind w:right="46"/>
              <w:jc w:val="right"/>
              <w:rPr>
                <w:sz w:val="24"/>
              </w:rPr>
            </w:pPr>
            <w:r>
              <w:rPr>
                <w:sz w:val="24"/>
              </w:rPr>
              <w:t>逮得辩才</w:t>
            </w:r>
          </w:p>
        </w:tc>
      </w:tr>
      <w:tr>
        <w:trPr>
          <w:trHeight w:val="464" w:hRule="atLeast"/>
        </w:trPr>
        <w:tc>
          <w:tcPr>
            <w:tcW w:w="1251" w:type="dxa"/>
          </w:tcPr>
          <w:p>
            <w:pPr>
              <w:pStyle w:val="TableParagraph"/>
              <w:ind w:left="50"/>
              <w:rPr>
                <w:sz w:val="24"/>
              </w:rPr>
            </w:pPr>
            <w:r>
              <w:rPr>
                <w:sz w:val="24"/>
              </w:rPr>
              <w:t>志不忽忘</w:t>
            </w:r>
          </w:p>
        </w:tc>
        <w:tc>
          <w:tcPr>
            <w:tcW w:w="1441" w:type="dxa"/>
          </w:tcPr>
          <w:p>
            <w:pPr>
              <w:pStyle w:val="TableParagraph"/>
              <w:ind w:left="221" w:right="220"/>
              <w:jc w:val="center"/>
              <w:rPr>
                <w:sz w:val="24"/>
              </w:rPr>
            </w:pPr>
            <w:r>
              <w:rPr>
                <w:sz w:val="24"/>
              </w:rPr>
              <w:t>游于世间</w:t>
            </w:r>
          </w:p>
        </w:tc>
        <w:tc>
          <w:tcPr>
            <w:tcW w:w="1251" w:type="dxa"/>
          </w:tcPr>
          <w:p>
            <w:pPr>
              <w:pStyle w:val="TableParagraph"/>
              <w:ind w:right="46"/>
              <w:jc w:val="right"/>
              <w:rPr>
                <w:sz w:val="24"/>
              </w:rPr>
            </w:pPr>
            <w:r>
              <w:rPr>
                <w:sz w:val="24"/>
              </w:rPr>
              <w:t>如水中月</w:t>
            </w:r>
          </w:p>
        </w:tc>
      </w:tr>
      <w:tr>
        <w:trPr>
          <w:trHeight w:val="464" w:hRule="atLeast"/>
        </w:trPr>
        <w:tc>
          <w:tcPr>
            <w:tcW w:w="1251" w:type="dxa"/>
          </w:tcPr>
          <w:p>
            <w:pPr>
              <w:pStyle w:val="TableParagraph"/>
              <w:ind w:left="50"/>
              <w:rPr>
                <w:sz w:val="24"/>
              </w:rPr>
            </w:pPr>
            <w:r>
              <w:rPr>
                <w:sz w:val="24"/>
              </w:rPr>
              <w:t>无有进退</w:t>
            </w:r>
          </w:p>
        </w:tc>
        <w:tc>
          <w:tcPr>
            <w:tcW w:w="1441" w:type="dxa"/>
          </w:tcPr>
          <w:p>
            <w:pPr>
              <w:pStyle w:val="TableParagraph"/>
              <w:ind w:left="221" w:right="220"/>
              <w:jc w:val="center"/>
              <w:rPr>
                <w:sz w:val="24"/>
              </w:rPr>
            </w:pPr>
            <w:r>
              <w:rPr>
                <w:sz w:val="24"/>
              </w:rPr>
              <w:t>尔乃为安</w:t>
            </w:r>
          </w:p>
        </w:tc>
        <w:tc>
          <w:tcPr>
            <w:tcW w:w="1251" w:type="dxa"/>
          </w:tcPr>
          <w:p>
            <w:pPr>
              <w:pStyle w:val="TableParagraph"/>
              <w:ind w:right="46"/>
              <w:jc w:val="right"/>
              <w:rPr>
                <w:sz w:val="24"/>
              </w:rPr>
            </w:pPr>
            <w:r>
              <w:rPr>
                <w:sz w:val="24"/>
              </w:rPr>
              <w:t>若了善权</w:t>
            </w:r>
          </w:p>
        </w:tc>
      </w:tr>
      <w:tr>
        <w:trPr>
          <w:trHeight w:val="464" w:hRule="atLeast"/>
        </w:trPr>
        <w:tc>
          <w:tcPr>
            <w:tcW w:w="1251" w:type="dxa"/>
          </w:tcPr>
          <w:p>
            <w:pPr>
              <w:pStyle w:val="TableParagraph"/>
              <w:ind w:left="50"/>
              <w:rPr>
                <w:sz w:val="24"/>
              </w:rPr>
            </w:pPr>
            <w:r>
              <w:rPr>
                <w:sz w:val="24"/>
              </w:rPr>
              <w:t>明见真谛</w:t>
            </w:r>
          </w:p>
        </w:tc>
        <w:tc>
          <w:tcPr>
            <w:tcW w:w="1441" w:type="dxa"/>
          </w:tcPr>
          <w:p>
            <w:pPr>
              <w:pStyle w:val="TableParagraph"/>
              <w:ind w:left="221" w:right="220"/>
              <w:jc w:val="center"/>
              <w:rPr>
                <w:sz w:val="24"/>
              </w:rPr>
            </w:pPr>
            <w:r>
              <w:rPr>
                <w:sz w:val="24"/>
              </w:rPr>
              <w:t>其言有身</w:t>
            </w:r>
          </w:p>
        </w:tc>
        <w:tc>
          <w:tcPr>
            <w:tcW w:w="1251" w:type="dxa"/>
          </w:tcPr>
          <w:p>
            <w:pPr>
              <w:pStyle w:val="TableParagraph"/>
              <w:ind w:right="46"/>
              <w:jc w:val="right"/>
              <w:rPr>
                <w:sz w:val="24"/>
              </w:rPr>
            </w:pPr>
            <w:r>
              <w:rPr>
                <w:sz w:val="24"/>
              </w:rPr>
              <w:t>无一坚固</w:t>
            </w:r>
          </w:p>
        </w:tc>
      </w:tr>
      <w:tr>
        <w:trPr>
          <w:trHeight w:val="819" w:hRule="atLeast"/>
        </w:trPr>
        <w:tc>
          <w:tcPr>
            <w:tcW w:w="1251" w:type="dxa"/>
          </w:tcPr>
          <w:p>
            <w:pPr>
              <w:pStyle w:val="TableParagraph"/>
              <w:ind w:left="50"/>
              <w:rPr>
                <w:sz w:val="24"/>
              </w:rPr>
            </w:pPr>
            <w:r>
              <w:rPr>
                <w:sz w:val="24"/>
              </w:rPr>
              <w:t>则能觉了</w:t>
            </w:r>
          </w:p>
          <w:p>
            <w:pPr>
              <w:pStyle w:val="TableParagraph"/>
              <w:spacing w:line="254" w:lineRule="exact" w:before="160"/>
              <w:ind w:left="50"/>
              <w:rPr>
                <w:sz w:val="24"/>
              </w:rPr>
            </w:pPr>
            <w:r>
              <w:rPr>
                <w:sz w:val="24"/>
              </w:rPr>
              <w:t>尔乃为安</w:t>
            </w:r>
          </w:p>
        </w:tc>
        <w:tc>
          <w:tcPr>
            <w:tcW w:w="1441" w:type="dxa"/>
          </w:tcPr>
          <w:p>
            <w:pPr>
              <w:pStyle w:val="TableParagraph"/>
              <w:ind w:left="221" w:right="220"/>
              <w:jc w:val="center"/>
              <w:rPr>
                <w:sz w:val="24"/>
              </w:rPr>
            </w:pPr>
            <w:r>
              <w:rPr>
                <w:sz w:val="24"/>
              </w:rPr>
              <w:t>寂然之法</w:t>
            </w:r>
          </w:p>
        </w:tc>
        <w:tc>
          <w:tcPr>
            <w:tcW w:w="1251" w:type="dxa"/>
          </w:tcPr>
          <w:p>
            <w:pPr>
              <w:pStyle w:val="TableParagraph"/>
              <w:ind w:right="46"/>
              <w:jc w:val="right"/>
              <w:rPr>
                <w:sz w:val="24"/>
              </w:rPr>
            </w:pPr>
            <w:r>
              <w:rPr>
                <w:sz w:val="24"/>
              </w:rPr>
              <w:t>不行妄想</w:t>
            </w:r>
          </w:p>
        </w:tc>
      </w:tr>
    </w:tbl>
    <w:p>
      <w:pPr>
        <w:pStyle w:val="BodyText"/>
        <w:ind w:left="0" w:right="0"/>
        <w:rPr>
          <w:rFonts w:ascii="Times New Roman"/>
        </w:rPr>
      </w:pPr>
    </w:p>
    <w:p>
      <w:pPr>
        <w:pStyle w:val="BodyText"/>
        <w:spacing w:line="362" w:lineRule="auto" w:before="67"/>
        <w:ind w:firstLine="480"/>
      </w:pPr>
      <w:r>
        <w:rPr/>
        <w:t>于是世尊赞舍利弗曰。善哉善哉。所知深远奉行慧义极究竟矣。以法谈言应道妙归。何其快乎。今舍利弗。诸所游止耆阇崛山。周旋学者比丘菩萨。普令会此启受道教。时舍利弗寻即白 佛。我不堪任请令集会。所以者何。诸大士等。威德过龙道智无尽。非吾所及。于时世尊从身放光。照于三千大千世界。寻时佛界诸菩萨众。蒙此明曜。如一念顷皆来集会于灵鹫山。行诣佛所稽首足下。绕佛三匝还住空中。闲居比丘及诸菩萨。来诣佛所稽首于地。还坐一面。王舍大城无数人民百千之众。行诣佛所稽首足下。退坐一面。于时世尊。见无数众皆来集会。举其尊颜瞻文殊面。寻复即笑。文殊师利便从座起。偏袒右肩右膝着地。叉手问佛。向者所笑为何变应。如来至真未曾虚欣。佛告文殊。今灵鹫山有万菩萨。俱讲经典。经名喻象。于往古昔亦曾所论。贤者阿难闻佛所说。即从座起更整衣服。长跪叉手稽首自归。善哉世尊。愍伤众生令致永安。唯当颁宣此喻象经。斯法难值众所希闻。愿欲时说一切诸部。皆来云集听此经典。必当逮得深入光明幽奥玄妙。所以者何。如来至真尊无双比三界无侣。向者尊颜观文殊面。应时即笑。此不虚妄会当有意。佛言。善哉善哉。阿难。汝乃睹察珠异德本。所可识者慧不可限。阿难。谛听善思念之。当为汝说向者笑意。于是阿难与诸大众受教而听。佛告阿难。若有众生信乐斯法。举动进止如象游步。信此法者彼等之类如大象游。亦如龙步。爱喜此法真谛义者。为师子步。举动进止尊无。俦匹。佛告阿难。此经典要悦诸菩萨。是经法教顺菩萨众。应当咨受。本宿功德现于目前。我逝之后。此经典者归诸菩萨。令手执持。志静意定所以归空。口诵心思是菩萨藏。不归薄德闇塞菩萨。不归怀毒谄伪菩萨之身也。亦复不归多愿妄想菩萨之手也。</w:t>
      </w:r>
    </w:p>
    <w:p>
      <w:pPr>
        <w:pStyle w:val="BodyText"/>
        <w:spacing w:before="163"/>
        <w:ind w:left="930" w:right="0"/>
      </w:pPr>
      <w:r>
        <w:rPr/>
        <w:t>尔时世尊。即显瑞应感动文殊。文殊师利应时知之。即自念言。我欲启问如来至真深远之</w:t>
      </w:r>
    </w:p>
    <w:p>
      <w:pPr>
        <w:spacing w:after="0"/>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法。一切声闻及与缘觉所不能逮。诸菩萨众履迹瑞应。以为等类。文殊师利前白佛言。唯然世 尊。今欲启问如来至真等正觉。设见听者乃敢自陈。佛告文殊。恣汝所问。诸大众会悉来集此并当蒙恩。文殊师利即白佛言。何谓菩萨而得建立诸功勋法。普现一切诸菩萨行。开化无数不可计会众生之类。现诸佛国如水中月。佛言。善哉善哉。文殊师利。向所问者但举其要。如来当为具足分别。令致建立功勋之德。谛听谛听善思念之。文殊师利与诸大众。受教而听。佛告文殊。若有菩萨当行六法。亦能具足道义之教。立于一切功勋之德。何谓为六。若有菩萨。奉行施度无 极。一切所有施而不吝无所贪惜。具足顺行不自见身。建立禁戒不犯众恶。不见吾我而晓了义。成就忍辱柔和安雅。心不怀恨。睹已解脱不在结滞。殷勤精进身无所行。心无所怀分别一切。一心正志于解脱门晓。了便宜。定意正受心常永安。不慕一意解畅智慧以为道业。自睹其身不离五趣。诸所生处皆令蒙度。是为六法。菩萨所行备悉此法。具足一切功德之勋。</w:t>
      </w:r>
    </w:p>
    <w:p>
      <w:pPr>
        <w:pStyle w:val="BodyText"/>
        <w:spacing w:line="362" w:lineRule="auto" w:before="165"/>
        <w:ind w:firstLine="480"/>
      </w:pPr>
      <w:r>
        <w:rPr/>
        <w:t>佛告文殊师利。复有六法具足此事。建立一切功勋之法。何等为六。一曰菩萨往诣地狱。摄护拔济烧炙之患使生天上。其在畜生扰攘不安。或愤愦闹不识义理。摄取其性显以柔和微妙之 法。其在下贱庶民小姓。则以开示转轮圣王势贵之位。皆以普现诸生五趣而等开度。所生之处与众超异。明晓随时入诸佛国土。而于法身无所动移。无来无去而悉遍现诸佛国土。演万亿音畅出言教。各令得闻。其心常定不偏不党志性荡荡。是为六法菩萨建立一切功勋。文殊师利复问佛 言。何谓菩萨摄护地狱使生天上。佛告文殊。菩萨大士以大莲华三昧正受。将护地狱就往拔济。则令于彼一切得升天祚之安。用以众生被苦恼故。显示忉利最选之宫。见此厄难因则患厌。而得度脱诸所受恼。为地狱人而说经典。令无央数百千之众度地狱痛。是为菩萨摄护地狱令得拔济烧炙之患。已常顺法无所违失。文殊复问佛言。何谓菩萨摄护扰攘拔济畜生迷愦之厄。生于人间安乐之处。佛告文殊。菩萨大士有三昧定。名曰寂灭。以是三昧正受之时。因能摄护在畜生者。令心不乱志性和悦。则得安隐生于人间。守护三事为说经法。令无央数众生之类建立道法。是为菩萨摄护畜生迷愦之厄令生人间。文殊师利复问佛言。何谓菩萨生于下贱庶民小姓。则得更受转轮圣王安隐之德。佛告文殊。有三昧。名入于清澄定意正受。因其三昧越诸衰种。使皆清净。虽生小姓。则得更受转轮圣王安隐之德。是为菩萨生于下贱庶民小姓。而受转轮圣王安隐之德。文殊又问。何谓世尊菩萨普显生诸五趣与众生超异。佛告文殊师利。有三昧。名遣诸行照明殊特。以此定意正受。菩萨住斯定时。普现五趣导御众生。令得超异殊特之行。皆发无上正真道也。文殊师利复问佛言。何谓菩萨随时方便。普入一切诸佛国土。于本法身不动移处不来不去。普显一切诸佛国土。如月现水。佛告文殊师利。有三昧。名咸入诸音菩萨。以是定意正受立时。能现己身在于十方。东西南北四维上下。不动移处不来不去。住彼定意。睹见十方诸佛世尊。闻所说经。是为菩萨不动移处随时方便。普现一切诸佛国土。如月现水不来不去。菩萨如是所周旋化亦无往来。</w:t>
      </w:r>
    </w:p>
    <w:p>
      <w:pPr>
        <w:spacing w:after="0" w:line="362" w:lineRule="auto"/>
        <w:sectPr>
          <w:pgSz w:w="12240" w:h="15840"/>
          <w:pgMar w:top="580" w:bottom="280" w:left="580" w:right="640"/>
        </w:sectPr>
      </w:pPr>
    </w:p>
    <w:p>
      <w:pPr>
        <w:pStyle w:val="BodyText"/>
        <w:spacing w:line="362" w:lineRule="auto" w:before="83"/>
        <w:ind w:firstLine="48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文殊师利复白佛言。何谓菩萨演万亿音畅出言教各令得闻。佛告文殊。于是菩萨逮得无量回转总持。达知无限众生志性随其言语各畅辞声。分别无数诸响言教而称其意。达其所趣逮此总 持。演一切音普令得闻。各各开演辞不错谬。是为菩萨演万亿音畅出言教各令得所。</w:t>
      </w:r>
    </w:p>
    <w:p>
      <w:pPr>
        <w:pStyle w:val="BodyText"/>
        <w:spacing w:line="362" w:lineRule="auto" w:before="160"/>
        <w:ind w:firstLine="480"/>
      </w:pPr>
      <w:r>
        <w:rPr/>
        <w:t>于是文殊师利前。白佛言。唯然世尊。诸菩萨等善权方便。难及难及超绝无侣。是经典要诸菩萨学常所启受。当以何业至信脱门。佛告文殊。菩萨欲学斯经典者。则当信解虚空之门。又问世尊。何谓虚空。佛告文殊。其虚空者则谓虚无。无有尘污无恚害心。亦不忽忘。一切诸法亦复如是。无污无害亦无忽忘。犹如虚空。不成布施不具持戒忍辱精进一心智慧。永无所及。如是文殊。一切诸法不成施戒忍进寂慧。犹如虚空。以是之故无解无除。一切诸法亦复如是。无解无除犹如虚空。有所行者无所造证。一切诸法亦复如是。则无所行亦无造证。犹如虚空无有闇冥亦无明耀。诸法如是。无闇无明犹如虚空。旷然无际不可捉持。诸法如是。普无齐限。不可捉持犹如虚空。无有正路亦无邪径。诸法如是无路无径。亦无邪正犹如虚空。不建立身离诸漏行。不学声闻。不志缘觉。不着诸佛。无上大乘诸法如是。不学声闻缘觉大乘。犹如虚空。无有思想无所分别。诸法如是。无有妄想亦无分别。犹如虚空无举无下无进无怠。诸法如是。无进无怠犹如虚 空。无应不应无双无只。诸法如是。无应不应亦无双只。犹如虚空。普照众生无能尘污令不净 者。诸法如是。至于灭度永无尘污。以是之故不可灭除。无能移去犹如虚空。无所建立亦无所 住。不动不摇无处所故。佛告文殊。菩萨大士解诸众生无有住处。不当观察见有处所。逮致本 际。不动不摇无住无不住。佛言。如是。文殊师利。彼法自然。其欲得见如来至真。则为邪见。其邪见者求入正见。其正见者是为泥洹。非大德果无大功勋。其至泥洹非大德果。无功勋已则世众祐。其世众祐。则于众祐无所希望。其于众祐无希望已。即能具足虚静之慧。已具静慧则能速成无所从生法忍。时彼众会六十比丘。皆怀甚慢各心念言。今者如来颁宣冥路迷惑之训。诸外邪学悉有是辞。何以为行。向者世尊复演此教。亦如弗兰迦葉。摩诃离瞿耶楼。阿夷帝基耶。今离披休迦旃先。比卢持。尼揵子等。悉说此言。何因如来亦演斯辞。有何殊别。云何则之所当遵 修。以何为业。</w:t>
      </w:r>
    </w:p>
    <w:p>
      <w:pPr>
        <w:pStyle w:val="BodyText"/>
        <w:spacing w:line="362" w:lineRule="auto" w:before="164"/>
        <w:ind w:firstLine="480"/>
      </w:pPr>
      <w:r>
        <w:rPr/>
        <w:t>尔时世尊知诸比丘六十人等怀甚慢者心之所念。寻时即告文殊师利。佛为如来至真正觉。颁宣经典。亦与外道异学俱同等无差特又外异学不能分别如来说法义之所归。六十比丘适闻此言。益怀忧戚意不欢悦。甚不钦乐讲是经义。即从座起无何而去。文殊师利告诸比丘诸贤者等。欲何所凑。时诸比丘报文殊曰。吾等不解是法所说为何所归。时舍利弗告诸比丘诸贤者等。斯义善 哉。当以此事重白其意。且待须臾。我当启问如来至真。何故说此。时诸比丘闻舍利弗宣如是教还复故座。时舍利弗则前问佛。何故如来颁宣此言。令诸比丘皆怀犹豫。唯愿世尊。加哀垂恩为决结网。彼时世尊告舍利弗。于意云何。其有比丘漏尽意解无余结缚。闻此言教。宁怀狐疑心怖</w:t>
      </w:r>
    </w:p>
    <w:p>
      <w:pPr>
        <w:spacing w:after="0" w:line="362" w:lineRule="auto"/>
        <w:sectPr>
          <w:pgSz w:w="12240" w:h="15840"/>
          <w:pgMar w:top="580" w:bottom="280" w:left="580" w:right="640"/>
        </w:sectPr>
      </w:pPr>
    </w:p>
    <w:p>
      <w:pPr>
        <w:pStyle w:val="BodyText"/>
        <w:spacing w:line="362" w:lineRule="auto" w:before="81"/>
        <w:ind w:right="396"/>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懅乎。答曰不也。世尊。已见谛者奉比丘行。于一切音诸所言辞。不恐不怖亦不怀懅。何况比丘漏尽意解无余结缚怀疑恐也。佛告舍利弗。或有愚人意塞沉冥。于未曾有法。而怀妄想逮虚空 行。时舍利弗复问佛言。唯愿大圣。发遣斯教章句所趣。令诸会者蠲除沉吟心中坦然。佛告舍利弗。其有梦中见如来者。为宁审见真人形乎。如来谓此梦中所睹则非真实。不为坚要。皆因思想计所思想。审无有想无合会想。无所有已。则解如来无所分别想无审谛想。不怀想想。无合会 想。无所有则解一切众生万物皆为虚妄。不见真实。便能晓了诸法迷惑颠倒放逸。已能晓了诸法迷惑。是故如来具足宣畅迷惑邪见。已能分别一切诸法。皆为邪见。则不复随迷惑邪疑六十二 见。是为舍利弗若有欲观如来至真则堕邪见。是故舍利弗。如来说此。若有欲观如来身者则堕邪见。除见闻想。为观如来乃无邪见。时舍利弗复问佛言。何谓世尊其邪见者令入正见。佛告舍利弗。一切愚戆凡夫之士。诸所妄想念应不应。所可发起立在处所。则于此事而不信之。无所建立精进懈怠无双无只。起自见身我人寿命。依猗计吾而贪着我。晓了分别。如此色像见闻念知。喜乐所说悉无所有。如是所有审无所有。是为所生。是为无所生。是为虚妄。是真实言皆无所有。其虚妄者则当知之。为无畴匹无像之谓。以无畴匹则成邪见。佛为舍利弗。其如是像。见诸虚妄了不以惑。是谓邪见。则与外道邪见俱同。以是之故。舍利弗。知其堕邪见缘致正见。舍利弗。复问佛言。何谓正见施与彼者。其福不大功勋不远。佛告舍利弗。假使有人如是像施。施彼众祐则成无为亲近无为。其无为者。无有少福无大功勋。无小名称亦不大称。所以者何。其无为者皆离一切功勋之报。无有处所。时舍利弗。复问佛言。如来至真云何讲说无为而无处所。本叹无 为。最为奇特功勋无限。佛告舍利弗。愚騃凡夫众行茂盛。计有吾我及人寿命。如来故为咨嗟无为。功勋无量显其处所。欲令众人断终始患故叹殊特。又舍利弗。当察贤圣非贤非圣亦非众祐。当作斯观成就贤圣。离欲众祐犹如农夫。随其所种各得其类。反依谷苗。或生荆棘草秽之瑕。于舍利弗所志云何。为是农夫所报实乎。本种荆棘草秽瑕耶。舍利弗答曰。不也世尊。佛言。如 是。舍利弗。设如农夫下种于地。依猗于此诞生荆棘。地之荒秽[(陋-(阿-可))-丙+茞]变为葱。如是舍利弗。施于贤圣欲立功德。不能欢悦。此非好种不成为果。将无所获。若不建立无为之 田。则当知之生死果报。是故舍利弗。欲致平等。是等无为则非大福。非大功勋。</w:t>
      </w:r>
    </w:p>
    <w:p>
      <w:pPr>
        <w:pStyle w:val="BodyText"/>
        <w:spacing w:line="362" w:lineRule="auto" w:before="167"/>
        <w:ind w:firstLine="480"/>
      </w:pPr>
      <w:r>
        <w:rPr/>
        <w:t>时舍利弗复问佛言。唯然世尊。何修无为。非有大福非大功勋。布施斯等其福云何在世众 祐。佛告舍利弗。假使不怀小福之想。无大福想。是为种殖众祐之德。已能种殖众祐之德。明靡不曜不受果报。是则旡上世间诸类之大众祐。若舍利弗。建此施者无尽德田。不受其华不获其 实。以是之故如此施者。非有大福非大功勋。是世众祐不受果报。舍利弗复问佛言。云何世尊。为施众祐入于众祐。无受果报乎。佛言。于舍利弗所志云何。所施众祐依于无为。又计其法有报应乎。舍利弗白佛。无也世尊。其以无为施于众祐。不受报应则无果证。其无为者则无所求。贤圣之士亦无所望。时佛赞曰。善哉善哉。舍利弗。诚如所云在世众祐也。假使有人施此众祐则无</w:t>
      </w:r>
    </w:p>
    <w:p>
      <w:pPr>
        <w:spacing w:after="0" w:line="362" w:lineRule="auto"/>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希望。时舍利弗复问佛言。云何世尊。有所施者而无报应具足空慧。佛告舍利弗。其能晓了一切诸法悉自然者。彼义为实为是虚耶。白世尊曰。其能晓了诸法自然。则能分别自然自幻。其能晓了诸法如幻。彼应虚无了虚无慧。所以者何。一切诸法自然如幻。是佛所说其如幻者。彼谓虚无虚无之慧。是故世尊。晓了诸法自然如幻。所以者何。计于彼法不有所成。亦无所获。佛言。善哉善哉。舍利弗。如汝所云。假使有法实有处所。有所有者念行真谛。则不复知众生灭度无为之义。用一切法虚无无谛而无真实。以是之故。开化度脱如江沙等五趣众生令得灭度。众生之类而无损减。悉由众生因虚无出也。如是舍利弗。何以故。众生所想虚无。其所思想无所逮得。是故名曰具虚无慧。因此所学用施众祐。无报应果。具虚无慧也。</w:t>
      </w:r>
    </w:p>
    <w:p>
      <w:pPr>
        <w:pStyle w:val="BodyText"/>
        <w:spacing w:line="362" w:lineRule="auto" w:before="163"/>
        <w:ind w:firstLine="480"/>
      </w:pPr>
      <w:r>
        <w:rPr/>
        <w:t>时舍利弗复问佛言。云何具足虚无之慧。以是之故。能疾逮成无所从生法忍。佛言。其于虚无而不造证。是则名曰具虚无慧。又舍利弗。何谓虚无知身虚无。我人寿命亦复虚无。见于断灭而计有常。众事牵连亦复虚无。佛法圣众无为之想。疗治心意诸念思想。心所游逸皆悉虚无故。舍利弗。其能咨受如是像比。当了斯慧以至解脱。此舍利弗。具虚无慧分别若斯。则能疾逮无所从生法忍。说是语时。四万菩萨寻时皆逮无所从生法忍。时六千人发大道意。三万六千天子值遇慧时当近道迹。其六十比丘怀甚慢者。漏尽意解至无起余。异口同音而俱举声。白佛言。我等世尊。从今以往奉六师教而因出家。佛非我师不奉受法不归圣众。从今以往悉无所作亦无报应。不兴重衅亦无恶趣。一切众会闻说斯义。无央数人皆悉惊愕不知云何。各心念言。斯等比丘将求迷惑。远佛违法。舍于禁戒就外异学。所以如是今演此辞。时舍利弗。知诸众会心之所念。即时告此诸比丘言。仁等何故发于斯言。吾等之身从今以往无佛世尊。因从异学出为沙门。时诸比丘报舍利弗。吾从今始敬事六师。一切所归为一相耳。不猗六入。是以不见若干种佛。不想出家为沙门也。舍利弗复问。何故诸贤复发此言。从今日始不以佛为圣师。诸比丘报曰。从今日始自在其地不在他乡。自归于己不归他人。己为师主不用他师。是以故往不以佛为圣师。所以者何。其佛正觉不离吾我。其吾我者不离于佛。时舍利弗又复更问。诸比丘众贤者等。何故复言。从今以往不启受法不归圣众。比丘答曰。不得诸法所可归念。亦无合集故不归法众。舍利弗。复问诸比 丘。何故发言。从今日往无所造业亦无所作。诸比丘曰。从今日始晓了诸法一切无作。其无作者亦非不作。以是之故。从今以往无所造业。舍利弗。应时复问。仁等何故向者说言。从今以往无有果报。诸比丘答曰。朋愚不解。故趣生死缠绵终始。吾等愚尽无缘无报。以是之故。从今以往无有果报。时舍利弗复问之曰。仁等何故复发此言。从今以往无有殃衅。诸比丘曰。吾等晓了一切诸法皆寂灭度。吾等解了一切诸法无法无报。所以诸法无有果报。因是之故而发斯言。从今已往无有殃衅。时舍利弗复问言曰。诸仁何故复发此言。从今已往无有恶趣。诸比丘曰。吾等从今晓了一切诸法所趣。永无恶趣。其无开化无不开化。无律不律。以是之故。从今已往无有恶趣。亦无不趣无律不律。时诸比丘说如是比弃自大义。时彼闻者三千六百比丘。漏尽意解至无起余。</w:t>
      </w:r>
    </w:p>
    <w:p>
      <w:pPr>
        <w:spacing w:after="0" w:line="362" w:lineRule="auto"/>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于是世尊赞诸比丘曰。善哉善哉。其于诸法无所得者乃为真得。又问世尊。何谓于法有所逮得。佛告文殊。所谓得者。谓逮无所从生法忍。文殊又问。若有菩萨。欲乐逮得无所从生法忍。当云何学如何建立。何谓奉行。佛时欲解。文殊师利。学法无上游一切智。诸通慧义。常当遵习无所从生法忍。佛尔时颂曰。</w:t>
      </w:r>
    </w:p>
    <w:p>
      <w:pPr>
        <w:pStyle w:val="BodyText"/>
        <w:spacing w:line="362" w:lineRule="auto" w:before="162"/>
        <w:ind w:left="930" w:right="7204"/>
        <w:jc w:val="both"/>
      </w:pPr>
      <w:r>
        <w:rPr/>
        <w:t>欲慕学佛慧   一切学中尊不受于诸法   亦复无所舍法者无所得   亦不越成就诸法无所有   愚者欲令有欲为除此行   故为众说法反志乐所生   不信无所起若能弃魔事   佛道尊无上若以生愚冥   故不了此义以兴若干种   愚者见各异其生无若干   一切为一相佛者世明慧   为凡夫说之用计吾我故   不能奉修道念言当久如   灭尽于贪淫远离嗔愚冥   念吾无尘劳无有而想有   断灭于灭度开化贪欲恚   故说寂然空冥尽无所生   故叹于泥洹方便赞灭尽   离佛法甚远想施奉禁戒   若希望乐道是不修佛教   为慕学思想愚者或虚妄   不解虚无法诸法一等想   及怀若干念若晓了此法   诸法自然想如人观五指   得道然不难道不离人远   亦复不在近精勤求妄相   以故离人远愚者行各异 展转相求短</w:t>
      </w:r>
    </w:p>
    <w:p>
      <w:pPr>
        <w:spacing w:after="0" w:line="362" w:lineRule="auto"/>
        <w:jc w:val="both"/>
        <w:sectPr>
          <w:pgSz w:w="12240" w:h="15840"/>
          <w:pgMar w:top="580" w:bottom="280" w:left="580" w:right="640"/>
        </w:sectPr>
      </w:pPr>
    </w:p>
    <w:p>
      <w:pPr>
        <w:pStyle w:val="BodyText"/>
        <w:spacing w:line="362" w:lineRule="auto" w:before="84"/>
        <w:ind w:left="930"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是人奉禁戒   此者凶犯恶善施行正法   有为悉虚无不复受神识   如幻无所见无有奉戒相   亦复无犯恶诸法因缘合   彼亦无吾我若于亿千劫   布施无等双将养上禁戒   导师不受决若以去思想   所施无所望弃捐诸希求   然后见授别说布施得福   持戒生天上其无所逮得   此乃无上道愚者猗颠倒   妄想有所求吾当致法忍   无起无为业无所从生法   心不念所生逮法忍不难   不更亿千劫假宣有法名   诸法无所作无本无所住   想皆如虚空无数亿诸佛   颁宣上妙法令除淫怒疑   诸法亦无尽诸法假使实   则当归尽赐以无所有故   是以不可得淫怒痴无量   计之无崖底设无有崖底   彼则无根本所种无有芽   何因生华实设不得叶者   何缘当有花无所从生法   则无有人种众生无众生   不生亦不灭犹如淫女人   彼则无有子以无有子者   则无有子忧明智观如是   诸法无所生彼便无恐惧 周旋生死苦</w:t>
      </w:r>
    </w:p>
    <w:p>
      <w:pPr>
        <w:spacing w:after="0" w:line="362" w:lineRule="auto"/>
        <w:jc w:val="both"/>
        <w:sectPr>
          <w:pgSz w:w="12240" w:h="15840"/>
          <w:pgMar w:top="580" w:bottom="280" w:left="580" w:right="640"/>
        </w:sectPr>
      </w:pPr>
    </w:p>
    <w:p>
      <w:pPr>
        <w:pStyle w:val="BodyText"/>
        <w:spacing w:line="362" w:lineRule="auto" w:before="84"/>
        <w:ind w:left="930"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愚为虚伪惑   不解法如幻受取虚空担   患厌圣善教若分别此教   无量无边际无数不可限   尔乃不患厌如佛说本际   宣畅无崖底当来际亦然   中际为一相无际想有际   无底际虚无吾已了此义   则解无二分本际虚空相   人际不可议其际譬如影   斯慧不可了因以行妄想   由是退转心当尽斯罗网   何缘当成佛正觉无所想   彼则无所成诸法无所生   愚者欲令成虚空不可捉   及宿诸处所虚空无所住   无为无形像如咨嗟虚空   解道亦当然如分别了道   晓众生亦如众生界悉等   平等虚空界其能了此等   成佛道不难不精进求度   不思念随顺不求愿诸法   成佛道无难道离诸所愿   一切断要誓心不抱求愿   诸佛道最上布施心自念   所施用得道道者无所得   上道无所获志常怀禁戒   想精进有实彼不承佛教   欲求望报故诸法无勤修   而反现精进其无所行者   此上度精进其发如是想 斯法无诸漏</w:t>
      </w:r>
    </w:p>
    <w:p>
      <w:pPr>
        <w:spacing w:after="0" w:line="362" w:lineRule="auto"/>
        <w:jc w:val="both"/>
        <w:sectPr>
          <w:pgSz w:w="12240" w:h="15840"/>
          <w:pgMar w:top="580" w:bottom="280" w:left="580" w:right="640"/>
        </w:sectPr>
      </w:pPr>
    </w:p>
    <w:p>
      <w:pPr>
        <w:pStyle w:val="BodyText"/>
        <w:spacing w:line="362" w:lineRule="auto" w:before="85"/>
        <w:ind w:left="930"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斯法为有漏   彼心不随顺所讲无念法   赞之如虚空不缚亦无脱   是慧为无上其希望奉戒   亦想犯禁者此二俱犯禁   无二为上禁诸法无有异   无想无殊特若解达无见   此乃奉佛教其心无所生   譬之如虚空等受如是决   乃为真寂志其无所想者   一切无所念无心无所生   佛道不难得其不受贪欲   不为欲所使贪则无所生   佛道不难得若不厌劫数   不畏亿本际不惧生死难 佛道不难得</w:t>
      </w:r>
    </w:p>
    <w:p>
      <w:pPr>
        <w:pStyle w:val="BodyText"/>
        <w:spacing w:line="362" w:lineRule="auto" w:before="164"/>
        <w:ind w:firstLine="480"/>
      </w:pPr>
      <w:r>
        <w:rPr/>
        <w:t>于是世尊说此颂竟。告文殊师利。若有菩萨。凡人笃信斯经典者。闻之不疑不怀犹豫。受持讽诵为他人说。具足解义。则当现致二十事功德之勋。何谓二十事。一曰诸天神明悉宿左右。二曰诸大蛟龙而来护之。三曰诸大鬼神咸共卫之。四曰心常安隐未曾见乱。五曰所生之处为众尊 长。六曰世世在处常识宿命。七曰生生所处常得五通。八曰速得法忍加当复见弥勒菩萨。九曰专精修此经典之要。心捐睡寐疲极之意。十曰若以寐时常于梦中得见诸佛。亦复当得见诸菩萨。十一曰用以笃信此经典故。当疾逮得柔顺法忍。十二曰若有受此经典本者。现世得致灭除诤讼。十三曰若行蛇蚖毒害之虫。念是经典终无恐惧。十四曰思此经卷则能降伏怨仇嫌隙。十五曰若能专惟斯经典者。便即逮得普光三昧。十六曰若能晓了斯经典者。则当知之除一切罪。十七曰若讲斯经便能获致不可称计百千法门。十八曰世世所在不失道心。十九曰所生之处面见诸佛。致无量转总持之要。彼若思惟斯经典时。诸魔波旬未曾得便。所至受身常见诸佛。二十曰思此经者所愿必成。二足三足四足毒虫悉共护之。若有非人欲来恐之。王者群臣飞尸恶鬼欲来恐之。自然有护无能犯者。佛语文殊。是为二十功德之勋。法师比丘闻此经典。欣然笃信而不以疑不怀犹豫。受持讽诵抱在心怀。具足分别为他人说功德如是。</w:t>
      </w:r>
    </w:p>
    <w:p>
      <w:pPr>
        <w:pStyle w:val="BodyText"/>
        <w:spacing w:line="362" w:lineRule="auto" w:before="163"/>
        <w:ind w:firstLine="480"/>
      </w:pPr>
      <w:r>
        <w:rPr/>
        <w:t>文殊师利复白佛言。譬如药树名曰普疗。皆能除愈一切疾病。斯经如是。疗治一切淫怒痴疾众想之患。佛言文殊。如仁所言诚无有异。斯经典者。实为消除一切众生五阴六衰三毒五盖十二</w:t>
      </w:r>
    </w:p>
    <w:p>
      <w:pPr>
        <w:spacing w:after="0" w:line="362" w:lineRule="auto"/>
        <w:sectPr>
          <w:pgSz w:w="12240" w:h="15840"/>
          <w:pgMar w:top="580" w:bottom="280" w:left="580" w:right="640"/>
        </w:sectPr>
      </w:pPr>
    </w:p>
    <w:p>
      <w:pPr>
        <w:pStyle w:val="BodyText"/>
        <w:spacing w:line="362" w:lineRule="auto" w:before="84"/>
      </w:pPr>
      <w:r>
        <w:rPr/>
        <w:pict>
          <v:group style="position:absolute;margin-left:34.6063pt;margin-top:29.000336pt;width:539.85pt;height:695.55pt;mso-position-horizontal-relative:page;mso-position-vertical-relative:page;z-index:-252176384" coordorigin="692,580" coordsize="10797,13911">
            <v:line style="position:absolute" from="11480,580" to="11480,14026" stroked="true" strokeweight=".80090pt" strokecolor="#000000">
              <v:stroke dashstyle="solid"/>
            </v:line>
            <v:line style="position:absolute" from="700,580" to="700,14026" stroked="true" strokeweight=".80090pt" strokecolor="#000000">
              <v:stroke dashstyle="solid"/>
            </v:line>
            <v:rect style="position:absolute;left:692;top:14026;width:10797;height:465" filled="true" fillcolor="#ff9933" stroked="false">
              <v:fill type="solid"/>
            </v:rect>
            <v:rect style="position:absolute;left:700;top:14034;width:10781;height:449" filled="false" stroked="true" strokeweight=".80090pt" strokecolor="#000000">
              <v:stroke dashstyle="solid"/>
            </v:rect>
            <v:shape style="position:absolute;left:1252;top:12840;width:65;height:481" coordorigin="1253,12841" coordsize="65,481" path="m1317,13289l1315,13275,1309,13265,1299,13259,1285,13257,1271,13259,1261,13265,1255,13275,1253,13289,1255,13303,1261,13313,1271,13319,1285,13321,1299,13319,1309,13313,1315,13303,1317,13289m1317,12873l1315,12859,1309,12849,1299,12843,1285,12841,1271,12843,1261,12849,1255,12859,1253,12873,1255,12887,1261,12897,1271,12903,1285,12905,1299,12903,1309,12897,1315,12887,1317,12873e" filled="true" fillcolor="#000000" stroked="false">
              <v:path arrowok="t"/>
              <v:fill type="solid"/>
            </v:shape>
            <w10:wrap type="none"/>
          </v:group>
        </w:pict>
      </w:r>
      <w:r>
        <w:rPr/>
        <w:t>因缘九十六径六十二疑邪见之碍。所以者何。乃往过去久远世时。其劫无限不可计会。其数过 此。时世有佛号乐师子步。会无央数无限人民。大众之中讲说经典。时乐师子步如来至真等正 觉。有一菩萨名金刚幢。于其佛所闻是经典。其心不疑不怀犹豫。即时启受于斯经典功德之勋。持讽诵读笃信执玩不离其心。行入郡国县邑聚落州城大邦。见之欢欣。皆言良医当来治我众患之疾。一心相信豫怀欣然。时百千人共相聚会。皆俱往诣于金刚幢菩萨之所。各欲求护。时金刚 幢。则以笃信悲哀之心。用斯经典咒于众人。取此经中神咒诸句。将护众人以德劳之。而以宿 卫。文殊师利。彼为何谓神咒句耶。以辞咒曰。</w:t>
      </w:r>
    </w:p>
    <w:p>
      <w:pPr>
        <w:pStyle w:val="BodyText"/>
        <w:spacing w:before="165"/>
        <w:ind w:left="930" w:right="0"/>
      </w:pPr>
      <w:r>
        <w:rPr/>
        <w:t>无捶(一)离为(二)以律舍(三)善度(四)不有实(五)无有处(六)离迷惑(七)尊虚空(八)荒如幻</w:t>
      </w:r>
    </w:p>
    <w:p>
      <w:pPr>
        <w:pStyle w:val="BodyText"/>
        <w:spacing w:line="362" w:lineRule="auto" w:before="157"/>
      </w:pPr>
      <w:r>
        <w:rPr/>
        <w:t>(九)无所生(十)不可得(十一)慈善慈(十二)愍众生(十三)一切下(十四)求径路(十五)义精进(十六)斯无楚(十七)此神咒(十八)。</w:t>
      </w:r>
    </w:p>
    <w:p>
      <w:pPr>
        <w:pStyle w:val="BodyText"/>
        <w:spacing w:line="362" w:lineRule="auto" w:before="160"/>
        <w:ind w:firstLine="480"/>
        <w:jc w:val="both"/>
      </w:pPr>
      <w:r>
        <w:rPr/>
        <w:t>是神咒章句将护众生。若得恼病至于困病。众患之苦痛不可言。若干诸疾悉得除愈。诸天龙神及与非人所见娆者。并余毒虫蟒蛇虎狼蚊虻蚑蜂。慈念此经无能触者。病疮痛癞。若得水疾悉得除愈。佛语文殊。时金刚幢菩萨。大士住此经典。为众生类皆疗众疾莫不安隐。于文殊。意志云何。时金刚幢菩萨大士为异人乎。莫作斯观。所以者何。则吾身是。吾于彼世受斯经典。笃信爱乐持讽读诵。开化饶益一切众生。是故文殊。当观此经如普药树。</w:t>
      </w:r>
    </w:p>
    <w:p>
      <w:pPr>
        <w:pStyle w:val="BodyText"/>
        <w:spacing w:line="362" w:lineRule="auto" w:before="161"/>
        <w:ind w:firstLine="480"/>
        <w:jc w:val="both"/>
      </w:pPr>
      <w:r>
        <w:rPr/>
        <w:t>文殊师利复问佛言。其有菩萨。受此神咒章句义者。持讽读诵当云何行。佛告文殊。若有菩萨受斯神咒章句义者。持讽读诵。其人发意奉行是经。不服食肉。不以香油涂薰其身。常怀慈心愍于众生。饶益一切如普药树。常当亲近于一切智。诸通普慧令无恼害得其便者。若诵此经。常当清净柔和其心无秽浊行。讽是经时。净扫除地令无尘埃见者悦豫。文殊师利复白佛言。若有菩萨读是经时。弃捐贪爱不惜身命忽如无形。尔乃随教。佛告文殊。诚如所云一无有异。彼时世尊告贤者阿难。受此经典持讽诵读。以用加益无数众生。斯经典者所益无量。阿难白佛。唯诺。当受如圣尊教。宣如佛说。佛言。善哉善哉。贤者阿难。若受此经奉持讽诵。为诸众生施作佛事。佛说如是。贤者舍利弗。贤者阿难。文殊师利。诸天世人阿须伦鬼神龙。闻佛所说莫不欢喜。作礼而去。</w:t>
      </w:r>
    </w:p>
    <w:p>
      <w:pPr>
        <w:pStyle w:val="BodyText"/>
        <w:spacing w:before="3"/>
        <w:ind w:left="0" w:right="0"/>
        <w:rPr>
          <w:sz w:val="26"/>
        </w:rPr>
      </w:pPr>
    </w:p>
    <w:p>
      <w:pPr>
        <w:pStyle w:val="BodyText"/>
        <w:spacing w:before="66"/>
        <w:ind w:left="873" w:right="0"/>
      </w:pPr>
      <w:hyperlink r:id="rId5">
        <w:r>
          <w:rPr>
            <w:color w:val="878787"/>
          </w:rPr>
          <w:t>上一部：乾隆大藏经·大乘五大部外重译经·佛说象腋经一卷</w:t>
        </w:r>
      </w:hyperlink>
    </w:p>
    <w:p>
      <w:pPr>
        <w:pStyle w:val="BodyText"/>
        <w:spacing w:before="109"/>
        <w:ind w:left="873" w:right="0"/>
      </w:pPr>
      <w:hyperlink r:id="rId6">
        <w:r>
          <w:rPr>
            <w:color w:val="878787"/>
          </w:rPr>
          <w:t>下一部：乾隆大藏经·大乘五大部外重译经·佛说大乘同性经二卷</w:t>
        </w:r>
      </w:hyperlink>
    </w:p>
    <w:p>
      <w:pPr>
        <w:pStyle w:val="BodyText"/>
        <w:spacing w:before="0"/>
        <w:ind w:left="0" w:right="0"/>
      </w:pPr>
    </w:p>
    <w:p>
      <w:pPr>
        <w:pStyle w:val="BodyText"/>
        <w:spacing w:before="7"/>
        <w:ind w:left="0" w:right="0"/>
        <w:rPr>
          <w:sz w:val="29"/>
        </w:rPr>
      </w:pPr>
    </w:p>
    <w:p>
      <w:pPr>
        <w:pStyle w:val="BodyText"/>
        <w:spacing w:before="0"/>
        <w:ind w:left="2851" w:right="2848"/>
        <w:jc w:val="center"/>
      </w:pPr>
      <w:r>
        <w:rPr>
          <w:color w:val="DDDDDD"/>
        </w:rPr>
        <w:t>乾隆大藏经·大乘五大部外重译经·佛说无希望经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34" w:hanging="369"/>
      </w:pPr>
      <w:rPr>
        <w:rFonts w:hint="default"/>
        <w:lang w:val="zh-CN" w:eastAsia="zh-CN" w:bidi="zh-CN"/>
      </w:rPr>
    </w:lvl>
    <w:lvl w:ilvl="2">
      <w:start w:val="0"/>
      <w:numFmt w:val="bullet"/>
      <w:lvlText w:val="•"/>
      <w:lvlJc w:val="left"/>
      <w:pPr>
        <w:ind w:left="1228" w:hanging="369"/>
      </w:pPr>
      <w:rPr>
        <w:rFonts w:hint="default"/>
        <w:lang w:val="zh-CN" w:eastAsia="zh-CN" w:bidi="zh-CN"/>
      </w:rPr>
    </w:lvl>
    <w:lvl w:ilvl="3">
      <w:start w:val="0"/>
      <w:numFmt w:val="bullet"/>
      <w:lvlText w:val="•"/>
      <w:lvlJc w:val="left"/>
      <w:pPr>
        <w:ind w:left="1523" w:hanging="369"/>
      </w:pPr>
      <w:rPr>
        <w:rFonts w:hint="default"/>
        <w:lang w:val="zh-CN" w:eastAsia="zh-CN" w:bidi="zh-CN"/>
      </w:rPr>
    </w:lvl>
    <w:lvl w:ilvl="4">
      <w:start w:val="0"/>
      <w:numFmt w:val="bullet"/>
      <w:lvlText w:val="•"/>
      <w:lvlJc w:val="left"/>
      <w:pPr>
        <w:ind w:left="1817" w:hanging="369"/>
      </w:pPr>
      <w:rPr>
        <w:rFonts w:hint="default"/>
        <w:lang w:val="zh-CN" w:eastAsia="zh-CN" w:bidi="zh-CN"/>
      </w:rPr>
    </w:lvl>
    <w:lvl w:ilvl="5">
      <w:start w:val="0"/>
      <w:numFmt w:val="bullet"/>
      <w:lvlText w:val="•"/>
      <w:lvlJc w:val="left"/>
      <w:pPr>
        <w:ind w:left="2112" w:hanging="369"/>
      </w:pPr>
      <w:rPr>
        <w:rFonts w:hint="default"/>
        <w:lang w:val="zh-CN" w:eastAsia="zh-CN" w:bidi="zh-CN"/>
      </w:rPr>
    </w:lvl>
    <w:lvl w:ilvl="6">
      <w:start w:val="0"/>
      <w:numFmt w:val="bullet"/>
      <w:lvlText w:val="•"/>
      <w:lvlJc w:val="left"/>
      <w:pPr>
        <w:ind w:left="2406" w:hanging="369"/>
      </w:pPr>
      <w:rPr>
        <w:rFonts w:hint="default"/>
        <w:lang w:val="zh-CN" w:eastAsia="zh-CN" w:bidi="zh-CN"/>
      </w:rPr>
    </w:lvl>
    <w:lvl w:ilvl="7">
      <w:start w:val="0"/>
      <w:numFmt w:val="bullet"/>
      <w:lvlText w:val="•"/>
      <w:lvlJc w:val="left"/>
      <w:pPr>
        <w:ind w:left="2700" w:hanging="369"/>
      </w:pPr>
      <w:rPr>
        <w:rFonts w:hint="default"/>
        <w:lang w:val="zh-CN" w:eastAsia="zh-CN" w:bidi="zh-CN"/>
      </w:rPr>
    </w:lvl>
    <w:lvl w:ilvl="8">
      <w:start w:val="0"/>
      <w:numFmt w:val="bullet"/>
      <w:lvlText w:val="•"/>
      <w:lvlJc w:val="left"/>
      <w:pPr>
        <w:ind w:left="2995"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8"/>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89.htm" TargetMode="External"/><Relationship Id="rId6" Type="http://schemas.openxmlformats.org/officeDocument/2006/relationships/hyperlink" Target="http://qldzj.com/htmljw/019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2019-12-09T07:12:27Z</dcterms:created>
  <dcterms:modified xsi:type="dcterms:W3CDTF">2019-12-09T07:12:27Z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