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644"/>
        <w:gridCol w:w="351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大乘五大部外重译经·第0244部</w:t>
            </w:r>
          </w:p>
        </w:tc>
        <w:tc>
          <w:tcPr>
            <w:tcW w:w="364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41"/>
              <w:rPr>
                <w:sz w:val="24"/>
              </w:rPr>
            </w:pPr>
            <w:r>
              <w:rPr>
                <w:color w:val="EDFFFF"/>
                <w:sz w:val="24"/>
              </w:rPr>
              <w:t>佛说谏王经一卷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1037"/>
              <w:rPr>
                <w:sz w:val="24"/>
              </w:rPr>
            </w:pPr>
            <w:r>
              <w:rPr>
                <w:color w:val="DDDDDD"/>
                <w:sz w:val="24"/>
              </w:rPr>
              <w:t>刘宋居士沮渠京声译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佛说谏王经</w:t>
            </w:r>
          </w:p>
        </w:tc>
        <w:tc>
          <w:tcPr>
            <w:tcW w:w="364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51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94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712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49" w:right="28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佛说谏王经</w:t>
            </w:r>
          </w:p>
        </w:tc>
      </w:tr>
      <w:tr>
        <w:trPr>
          <w:trHeight w:val="536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808"/>
              <w:rPr>
                <w:sz w:val="24"/>
              </w:rPr>
            </w:pPr>
            <w:r>
              <w:rPr>
                <w:sz w:val="24"/>
              </w:rPr>
              <w:t>如是我闻。一时佛在舍卫国祇树给孤独园。是时国王名不离先尼。出行国界道过佛所。身蒙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尘土解剑退盖为佛作礼。天尊曰。就坐。王即坐。佛问王。王所从来身蒙尘土。王即退坐稽首对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诺。属行国界有灾异者。佛告王曰。王治当以正法无失节度。常以慈心养育人民。所以得霸治为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国王者。皆由宿命行善所致。统理民事不可偏枉。诸公卿群寮下逮凡民皆有怨辞。王治行不平海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内皆忿。身死魂神常入太山地狱。后虽悔之无所复及。王治国平正常以节度。臣民叹德四海归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心。天龙鬼神皆闻王善死得上天后亦无悔。王无好淫劮以自荒坏。无以忿意有所残贼。当受忠臣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刚直之谏。夫与人言。常以宽详无灼热之。当以四意待于国民。何谓为四。随时廪与。和意与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语。所有珍宝与民共之。占视老病及诸鳏寡。王如是者。国中和平即得其福寿终上天所愿自然。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王不可以常得自在。人皆敬畏以之为乐。名象好马宝车贤臣。群寮百官导从前后。内藏珍宝仓库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百物。皆当腐坏无长存者。年少会老强健必病。含血之类皆当归死。珍宝妻子家室内外不可常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得。如人梦见殿舍好园树木花果池水流泉。游戏其中快乐无极。寤则霍然莫知所在。睹世所有皆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如人梦。王宁见树有华果。华果不能常着树。青青之叶会有萎落。天冠巾帻黼黻名服不能常好。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流水不能常满。放火旷野火盛焰赫不久则灭。暴风疾雨雷电霹雳。斯臾之间霍然不见。日欲出时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星无精光。日之盛明照于天下不久则冥。世间无常亦复如是。喻如四面有大石山。上下皆有六山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俱到同时共合。其中人物含血之类。无有豪贱皆当糜碎。人有四事不可得止。老至体枯。病来心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恼。身死神去。所有珍宝皆当弃捐不可得保。此四一至不可得离无避逃处。非口所能守请陈谢。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不可财许求哀得解。是时所有名象良马珍宝壮士群臣百官护导前后。孰能为王排却之者。王宁见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师子兽中最猛。遥见群鹿意欲所取便前搏撮裂食其肉如斯之痛安可言乎。命如师子取群鹿时。人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命欲终身体不宁。血脉为消面色为变。命日欲促五藏不治不思饮食。虽有神咒良医善药不能使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愈。口为妄语其所索者家室恣之。身体皆痛如被掠治。手足抂攘骨节欲解。口干息极羸瘦困劣。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不能起居坐卧须人。若得良药糜粥甘食人当含之。必复苦极筋脉欲绝。但有出气无复报入。唇燥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干焦。正气竭尽邪气在处。舌稍却缩面目无色。耳鼻闭塞不闻声香。手足拘挛筋急口噤欲言不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能。手或把空莫索边傍。白汗目泪流出相续。心意着痛识转消灭无所复知。熅去身冷魂神去矣。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所有珍宝父母兄弟妻子。内外知识奴婢皆当弃捐。随行独去不知所到。世间虽乐不得久留。王当</w:t>
            </w:r>
          </w:p>
        </w:tc>
      </w:tr>
      <w:tr>
        <w:trPr>
          <w:trHeight w:val="686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是时当何恃怙。唯有孝顺慈养二亲。供事高行清洁沙门见凡老人当尊敬之。所有财宝与民同欢。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9705" w:hRule="atLeast"/>
        </w:trPr>
        <w:tc>
          <w:tcPr>
            <w:tcW w:w="10780" w:type="dxa"/>
            <w:tcBorders>
              <w:top w:val="nil"/>
            </w:tcBorders>
          </w:tcPr>
          <w:p>
            <w:pPr>
              <w:pStyle w:val="TableParagraph"/>
              <w:spacing w:line="362" w:lineRule="auto" w:before="80"/>
              <w:ind w:right="339"/>
              <w:rPr>
                <w:sz w:val="24"/>
              </w:rPr>
            </w:pPr>
            <w:r>
              <w:rPr>
                <w:sz w:val="24"/>
              </w:rPr>
              <w:t>当以慈心施惠于民。无以谗言残害民命。为王之法当宣圣道。教民为善。唯守一心心存三尊。王者如斯诸圣咨嗟。天龙鬼神拥护其国。生有荣誉死得上天。身死神去当何所恃。惟恃善耳。火盛炜炜恃水灭之。饥渴之人惟恃水谷。老恃机杖。盲恃有目。冥恃灯火。疾病困笃恃良医药。船行巨海风浪盛猛恃彼榜橹。道有盗贼恃藏匿处。身死神去惟恃修善。犹逢彼难各恃其事。以自拔济宗室获安。王无以为乐饮食极味。游居自在不可常得。饱满皆当消散不可常得。好香涂身苾芬括鼻。珠玑璎珞奕奕曜目。水陆好华以为校饰。金缕织成以为名服。白毳衣。文绣衣。杂彩衣。无极衣。细叠衣。细致衣。锦绫衣。此皆无常不可久保。宫观高台华阙殿舍。黄金白银七宝床榻。</w:t>
            </w:r>
            <w:r>
              <w:rPr>
                <w:spacing w:val="1"/>
                <w:sz w:val="24"/>
              </w:rPr>
              <w:t>氍毹毾[登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毛]綩綖细软以藉身体。七宝织成文绣绫绮以为帏帐。柱梁殿户雕文刻镂。烧众杂香游戏其中。斯皆无常不可久保。琴瑟筝笛众音集聚。歌舞倡伎众音盈耳快乐可言。斯亦无常如幻如梦不得久保。象马宝车光目之观。王一出时椎钟鸣鼓驿导前后。王乘羽盖之车侍者持幢。翠毛鸨羽雕文其柄以拂尘土。治填道路丹画栏楯。众民所观无不敬畏。好华名香皆以迎王。称寿万岁斯亦难保。王宁见人欲死时不。诸家内外聚会其边。椎胸呼天皆云奈何。喐吚哽咽泪下交流。呜呼痛哉神灵独逝。舍吾如之乎。闻之者莫不伤心。睹之者莫不助哀。载之出城捐于旷野。飞鸟走</w:t>
            </w:r>
            <w:r>
              <w:rPr>
                <w:spacing w:val="1"/>
                <w:sz w:val="24"/>
              </w:rPr>
              <w:t>兽掴[列</w:t>
            </w:r>
            <w:r>
              <w:rPr>
                <w:spacing w:val="8"/>
                <w:sz w:val="24"/>
              </w:rPr>
              <w:t>/</w:t>
            </w:r>
            <w:r>
              <w:rPr>
                <w:sz w:val="24"/>
              </w:rPr>
              <w:t>手]食之。身中有虫还食其肉。日炙风飘骨皆为干。往昔诸王尊荣豪贵。隐隐阗阗亦如大王。今日霍然不复见之。此皆无常之明验也。古常如此况于今日。王熟思之无念淫劮。无受佞言证人入罪。当受忠谏治以节度。当畏地狱酷治之痛。诸含血之虫皆贪生活不当杀之。佛说经 竟。王意即解愿为弟子即受五戒。头面着地为佛作礼。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0"/>
              <w:ind w:left="751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上一部：乾隆大藏经·大乘五大部外重译经·解深密经五卷</w:t>
              </w:r>
            </w:hyperlink>
          </w:p>
          <w:p>
            <w:pPr>
              <w:pStyle w:val="TableParagraph"/>
              <w:spacing w:before="109"/>
              <w:ind w:left="751"/>
              <w:rPr>
                <w:sz w:val="24"/>
              </w:rPr>
            </w:pPr>
            <w:hyperlink r:id="rId6">
              <w:r>
                <w:rPr>
                  <w:color w:val="878787"/>
                  <w:sz w:val="24"/>
                </w:rPr>
                <w:t>下一部：乾隆大藏经·大乘五大部外重译经·如来示教胜军王经一卷</w:t>
              </w:r>
            </w:hyperlink>
          </w:p>
        </w:tc>
      </w:tr>
      <w:tr>
        <w:trPr>
          <w:trHeight w:val="42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spacing w:before="62"/>
              <w:ind w:left="2849" w:right="2831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乾隆大藏经·大乘五大部外重译经·佛说谏王经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455.110077pt;width:3.25pt;height:3.25pt;mso-position-horizontal-relative:page;mso-position-vertical-relative:page;z-index:-15856128" coordorigin="1253,9102" coordsize="65,65" path="m1285,9166l1271,9164,1261,9158,1255,9148,1253,9134,1255,9120,1261,9110,1271,9104,1285,9102,1299,9104,1309,9110,1315,9120,1317,9134,1315,9148,1309,9158,1299,9164,1285,91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475.933472pt;width:3.25pt;height:3.25pt;mso-position-horizontal-relative:page;mso-position-vertical-relative:page;z-index:-15855616" coordorigin="1253,9519" coordsize="65,65" path="m1285,9583l1271,9581,1261,9575,1255,9565,1253,9551,1255,9537,1261,9527,1271,9521,1285,9519,1299,9521,1309,9527,1315,9537,1317,9551,1315,9565,1309,9575,1299,9581,1285,9583xe" filled="true" fillcolor="#000000" stroked="false">
            <v:path arrowok="t"/>
            <v:fill type="solid"/>
            <w10:wrap type="none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40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240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541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841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142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442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742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043" w:hanging="369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327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43.htm" TargetMode="External"/><Relationship Id="rId6" Type="http://schemas.openxmlformats.org/officeDocument/2006/relationships/hyperlink" Target="http://qldzj.com/htmljw/024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2019-12-09T08:17:01Z</dcterms:created>
  <dcterms:modified xsi:type="dcterms:W3CDTF">2019-12-09T08:17:01Z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