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900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佛说未曾有经一卷</w:t>
              <w:tab/>
            </w:r>
            <w:r>
              <w:rPr>
                <w:color w:val="DDDDDD"/>
                <w:sz w:val="24"/>
              </w:rPr>
              <w:t>后汉失译师</w:t>
            </w:r>
            <w:r>
              <w:rPr>
                <w:color w:val="DDDDDD"/>
                <w:spacing w:val="-16"/>
                <w:sz w:val="24"/>
              </w:rPr>
              <w:t>名</w:t>
            </w:r>
            <w:r>
              <w:rPr>
                <w:color w:val="DDDDDD"/>
                <w:spacing w:val="8"/>
                <w:sz w:val="24"/>
              </w:rPr>
              <w:t>0256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佛说未曾有经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佛说未曾有经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：一时，佛住王舍城耆阇崛山，与大比丘众千二百五十人俱。尔时，尊者阿难晨朝著衣，持钵入王舍城正念乞食，见有一处新作大舍重阁高显，户牖雕饰，墙壁严整，无有风尘障隔寒暑。尊者阿难见已即作是念：“若有善男子、善女人，作如是严丽之舍，布施四方众僧。若如来般涅槃后，复有善男子、善女人，以如芥子舍利起塔，大如庵摩勒果，其刹如针，上施槃盖如酸枣叶，若作佛像乃至如[麩-夫+廣]麦。是二功德，何者为多？”</w:t>
            </w: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尔时，尊者阿难乞食讫还本处，饭食竟举衣钵，洗足已往诣佛所，一心恭敬头面作礼，于一面坐已白佛言：“世尊，我于彼处晨朝著衣，持钵入王舍城乞食，见有一处新作大舍重阁高显， 户牖雕饰，墙壁严整，无有风尘障隔寒暑，便作是念：‘若有善男子、善女人，能作如是妙丽之舍，布施四方众僧。若佛般涅槃后，复有善男子、善女人，以如芥子舍利起塔，大如庵摩勒果， 其刹如针，上施槃盖如酸枣叶，若作佛像乃至如[麩-夫+廣]麦。是二功德，何者为多？’”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尔时，世尊告阿难言：“善哉！善哉！阿难，汝为多人故，为安乐众生故，为哀愍世间故， 为大众故，为多饶益天人故，乃以是义问于如来。阿难，谛听！善思念之。阎浮提地广七千由 延，北阔南狭，其中人面似如车形，如是地上满中甘蔗、竹苇、稻、麻、丛林，无空缺处犹如一体。阿难，是诸草木皆悉为人，得须陀洹、斯陀含、阿那含、阿罗汉、辟支佛。若有一人尽寿供养衣钵、饮食、床座、医药、房舍所须，具足供给至灭度后一一起塔，各起塔已供养恭敬香华、伎乐、烧香、涂香、末香、幢幡、宝盖如是具足。于汝意云何？如此功德宁为多不？”</w:t>
            </w: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阿难白佛言：“甚多！世尊。甚多！善逝，是善男子、善女人得大功德。”</w:t>
            </w:r>
          </w:p>
          <w:p>
            <w:pPr>
              <w:pStyle w:val="TableParagraph"/>
              <w:spacing w:line="362" w:lineRule="auto" w:before="157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佛告阿难：“置是阎浮提，复有瞿耶尼广八千由延，人面如半月，于彼中人亦复如是作大功德。复次，阿难，置是瞿耶尼，复有弗于逮广九千由延，人面圆满，于彼人中悉亦如是作大功 德。复次，阿难，置是弗于逮，复有郁单越广万由延，人面正方，于彼中人悉亦如是作大功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德。”</w:t>
            </w:r>
          </w:p>
          <w:p>
            <w:pPr>
              <w:pStyle w:val="TableParagraph"/>
              <w:spacing w:line="362" w:lineRule="auto" w:before="157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告阿难：“释提桓因大庄严殿，雕文刻镂微妙奇特，有八万四千宝柱，以天青琉璃间厕黄金以为罗网弥覆其上，金沙布地，奇妙栴檀以为栏楯。复次，阿难，是天帝释大庄严殿，复有八万四千宝窗，亦以天青琉璃间厕黄金以为罗网弥覆其上，布以金沙，栴檀栏楯。复次，阿难，是天帝释大庄严殿，复有八万四千天绀宝窗，微妙严丽校饰如上。复次，阿难，是天帝释大庄严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  <w:ind w:left="449"/>
      </w:pPr>
      <w:r>
        <w:rPr/>
        <w:pict>
          <v:group style="position:absolute;margin-left:34.6063pt;margin-top:28.999924pt;width:539.85pt;height:485.4pt;mso-position-horizontal-relative:page;mso-position-vertical-relative:page;z-index:-251732992" coordorigin="692,580" coordsize="10797,9708">
            <v:line style="position:absolute" from="11480,580" to="11480,9823" stroked="true" strokeweight=".80090pt" strokecolor="#000000">
              <v:stroke dashstyle="solid"/>
            </v:line>
            <v:line style="position:absolute" from="700,580" to="700,9823" stroked="true" strokeweight=".80090pt" strokecolor="#000000">
              <v:stroke dashstyle="solid"/>
            </v:line>
            <v:rect style="position:absolute;left:692;top:9823;width:10797;height:465" filled="true" fillcolor="#ff9933" stroked="false">
              <v:fill type="solid"/>
            </v:rect>
            <v:rect style="position:absolute;left:700;top:9831;width:10781;height:449" filled="false" stroked="true" strokeweight=".80090pt" strokecolor="#000000">
              <v:stroke dashstyle="solid"/>
            </v:rect>
            <v:shape style="position:absolute;left:1252;top:8637;width:65;height:481" coordorigin="1253,8638" coordsize="65,481" path="m1317,9086l1315,9072,1309,9062,1299,9056,1285,9054,1271,9056,1261,9062,1255,9072,1253,9086,1255,9100,1261,9110,1271,9116,1285,9118,1299,9116,1309,9110,1315,9100,1317,9086m1317,8670l1315,8656,1309,8646,1299,8640,1285,8638,1271,8640,1261,8646,1255,8656,1253,8670,1255,8684,1261,8694,1271,8700,1285,8702,1299,8700,1309,8694,1315,8684,1317,8670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殿，复有八万四千楼橹馆阁，四出围绕众宝校饰亦复如上。”</w:t>
      </w:r>
    </w:p>
    <w:p>
      <w:pPr>
        <w:pStyle w:val="BodyText"/>
        <w:spacing w:line="362" w:lineRule="auto" w:before="158"/>
        <w:ind w:left="449" w:right="477" w:firstLine="480"/>
      </w:pPr>
      <w:r>
        <w:rPr/>
        <w:t>佛告阿难：“若有善男子、善女人，作是天帝释大庄严殿，施四方众僧。于汝意云何？是善男子、善女人，以此因缘得大功德不？”</w:t>
      </w:r>
    </w:p>
    <w:p>
      <w:pPr>
        <w:pStyle w:val="BodyText"/>
        <w:ind w:left="930"/>
      </w:pPr>
      <w:r>
        <w:rPr/>
        <w:t>阿难白佛言：“甚多！世尊。甚多！善逝，此善男子、善女人得大功德。”</w:t>
      </w:r>
    </w:p>
    <w:p>
      <w:pPr>
        <w:pStyle w:val="BodyText"/>
        <w:spacing w:line="362" w:lineRule="auto" w:before="157"/>
        <w:ind w:left="449" w:right="445" w:firstLine="480"/>
      </w:pPr>
      <w:r>
        <w:rPr/>
        <w:t>佛告阿难：“置此四天下功德，复置释提桓因大庄严殿功德。若有善男子、善女人，作百千亿释提桓因大庄严殿，施四方僧。复有善男子、善女人，于佛般涅槃后，以如芥子舍利起塔，大如庵摩勒果，其刹如针，上施槃盖如酸枣叶，若造佛形像乃至如[麩-夫+廣]麦，此功德满足百倍不及，千倍、万倍、百千万亿倍所不能及，不可称量。阿难当知，是如来无量功德，戒分、定 分、智慧分、解脱分、知见解脱分。复次，阿难，如来无量功德，有大神通神足变化，及檀波罗蜜、尸波罗蜜、羼提波罗蜜、毗梨耶波罗蜜、禅波罗蜜、般若波罗蜜如是等无量功德。”</w:t>
      </w:r>
    </w:p>
    <w:p>
      <w:pPr>
        <w:pStyle w:val="BodyText"/>
        <w:spacing w:before="1"/>
        <w:ind w:left="930"/>
      </w:pPr>
      <w:r>
        <w:rPr/>
        <w:t>尔时，佛告尊者阿难：“汝谛受持此经。”</w:t>
      </w:r>
    </w:p>
    <w:p>
      <w:pPr>
        <w:pStyle w:val="BodyText"/>
        <w:spacing w:before="157"/>
        <w:ind w:left="930"/>
      </w:pPr>
      <w:r>
        <w:rPr/>
        <w:t>阿难白佛言：“受教，世尊，此名何法？我等如来法中当云何受持？”</w:t>
      </w:r>
    </w:p>
    <w:p>
      <w:pPr>
        <w:pStyle w:val="BodyText"/>
        <w:spacing w:line="362" w:lineRule="auto" w:before="157"/>
        <w:ind w:left="449" w:right="477" w:firstLine="480"/>
        <w:jc w:val="both"/>
      </w:pPr>
      <w:r>
        <w:rPr/>
        <w:t>佛告阿难：“此名《未曾有法》，是一切清净妙法方便。我以是故，殷勤嘱汝当数数广，为诸天、人、阿修罗、龙、夜叉、乾闼婆、伽留罗、紧那罗、摩睺罗伽、人非人等，分别说之。当作如来善根功德种子，一切众生闻者，得入如来善根功德，以是因缘故离诸烦恼悉皆成佛。”</w:t>
      </w:r>
    </w:p>
    <w:p>
      <w:pPr>
        <w:pStyle w:val="BodyText"/>
        <w:spacing w:before="1"/>
        <w:ind w:left="930"/>
      </w:pPr>
      <w:r>
        <w:rPr/>
        <w:t>诸比丘闻已欢喜作礼。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上一部：乾隆大藏经·大乘五大部外重译经·无上依经二卷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下一部：乾隆大藏经·大乘五大部外重译经·佛说甚希有经一卷</w:t>
        </w:r>
      </w:hyperlink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2851" w:right="2848"/>
        <w:jc w:val="center"/>
      </w:pPr>
      <w:r>
        <w:rPr>
          <w:color w:val="DDDDDD"/>
        </w:rPr>
        <w:t>乾隆大藏经·大乘五大部外重译经·佛说未曾有经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55.htm" TargetMode="External"/><Relationship Id="rId6" Type="http://schemas.openxmlformats.org/officeDocument/2006/relationships/hyperlink" Target="http://qldzj.com/htmljw/025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2019-12-09T08:34:50Z</dcterms:created>
  <dcterms:modified xsi:type="dcterms:W3CDTF">2019-12-09T08:34:50Z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