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17"/>
        <w:gridCol w:w="3584"/>
        <w:gridCol w:w="3579"/>
      </w:tblGrid>
      <w:tr>
        <w:trPr>
          <w:trHeight w:val="748" w:hRule="atLeast"/>
        </w:trPr>
        <w:tc>
          <w:tcPr>
            <w:tcW w:w="3617" w:type="dxa"/>
            <w:tcBorders>
              <w:right w:val="nil"/>
            </w:tcBorders>
            <w:shd w:val="clear" w:color="auto" w:fill="FF9933"/>
          </w:tcPr>
          <w:p>
            <w:pPr>
              <w:pStyle w:val="TableParagraph"/>
              <w:spacing w:line="213" w:lineRule="auto" w:before="113"/>
              <w:ind w:right="634"/>
              <w:rPr>
                <w:sz w:val="24"/>
              </w:rPr>
            </w:pPr>
            <w:r>
              <w:rPr>
                <w:color w:val="DDDDDD"/>
                <w:sz w:val="24"/>
              </w:rPr>
              <w:t>大乘五大部外重译经·第0358部</w:t>
            </w:r>
          </w:p>
        </w:tc>
        <w:tc>
          <w:tcPr>
            <w:tcW w:w="3584" w:type="dxa"/>
            <w:tcBorders>
              <w:left w:val="nil"/>
              <w:right w:val="nil"/>
            </w:tcBorders>
            <w:shd w:val="clear" w:color="auto" w:fill="FF9933"/>
          </w:tcPr>
          <w:p>
            <w:pPr>
              <w:pStyle w:val="TableParagraph"/>
              <w:spacing w:before="86"/>
              <w:ind w:left="580"/>
              <w:rPr>
                <w:sz w:val="24"/>
              </w:rPr>
            </w:pPr>
            <w:r>
              <w:rPr>
                <w:color w:val="EDFFFF"/>
                <w:sz w:val="24"/>
              </w:rPr>
              <w:t>妙臂印幢陀罗尼经一卷</w:t>
            </w:r>
          </w:p>
        </w:tc>
        <w:tc>
          <w:tcPr>
            <w:tcW w:w="3579" w:type="dxa"/>
            <w:tcBorders>
              <w:left w:val="nil"/>
            </w:tcBorders>
            <w:shd w:val="clear" w:color="auto" w:fill="FF9933"/>
          </w:tcPr>
          <w:p>
            <w:pPr>
              <w:pStyle w:val="TableParagraph"/>
              <w:spacing w:before="86"/>
              <w:ind w:left="617"/>
              <w:rPr>
                <w:sz w:val="24"/>
              </w:rPr>
            </w:pPr>
            <w:r>
              <w:rPr>
                <w:color w:val="DDDDDD"/>
                <w:sz w:val="24"/>
              </w:rPr>
              <w:t>唐于阗国三藏实叉难陀译</w:t>
            </w:r>
          </w:p>
        </w:tc>
      </w:tr>
      <w:tr>
        <w:trPr>
          <w:trHeight w:val="1149" w:hRule="atLeast"/>
        </w:trPr>
        <w:tc>
          <w:tcPr>
            <w:tcW w:w="3617" w:type="dxa"/>
            <w:tcBorders>
              <w:right w:val="nil"/>
            </w:tcBorders>
          </w:tcPr>
          <w:p>
            <w:pPr>
              <w:pStyle w:val="TableParagraph"/>
              <w:numPr>
                <w:ilvl w:val="0"/>
                <w:numId w:val="1"/>
              </w:numPr>
              <w:tabs>
                <w:tab w:pos="912" w:val="left" w:leader="none"/>
              </w:tabs>
              <w:spacing w:line="240" w:lineRule="auto"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TableParagraph"/>
              <w:spacing w:before="4"/>
              <w:ind w:left="0"/>
              <w:rPr>
                <w:rFonts w:ascii="Times New Roman"/>
                <w:sz w:val="30"/>
              </w:rPr>
            </w:pPr>
          </w:p>
          <w:p>
            <w:pPr>
              <w:pStyle w:val="TableParagraph"/>
              <w:ind w:left="543"/>
              <w:rPr>
                <w:sz w:val="24"/>
              </w:rPr>
            </w:pPr>
            <w:r>
              <w:rPr>
                <w:color w:val="FF3300"/>
                <w:sz w:val="24"/>
              </w:rPr>
              <w:t>妙臂印幢陀罗尼经</w:t>
            </w:r>
          </w:p>
        </w:tc>
        <w:tc>
          <w:tcPr>
            <w:tcW w:w="3584" w:type="dxa"/>
            <w:tcBorders>
              <w:left w:val="nil"/>
              <w:right w:val="nil"/>
            </w:tcBorders>
          </w:tcPr>
          <w:p>
            <w:pPr>
              <w:pStyle w:val="TableParagraph"/>
              <w:numPr>
                <w:ilvl w:val="0"/>
                <w:numId w:val="2"/>
              </w:numPr>
              <w:tabs>
                <w:tab w:pos="646" w:val="left" w:leader="none"/>
              </w:tabs>
              <w:spacing w:line="290"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tc>
        <w:tc>
          <w:tcPr>
            <w:tcW w:w="3579" w:type="dxa"/>
            <w:tcBorders>
              <w:left w:val="nil"/>
            </w:tcBorders>
          </w:tcPr>
          <w:p>
            <w:pPr>
              <w:pStyle w:val="TableParagraph"/>
              <w:spacing w:line="213" w:lineRule="auto" w:before="113"/>
              <w:ind w:left="2006" w:right="359"/>
              <w:rPr>
                <w:sz w:val="24"/>
              </w:rPr>
            </w:pPr>
            <w:r>
              <w:rPr>
                <w:sz w:val="24"/>
              </w:rPr>
              <w:t>字体：</w:t>
            </w:r>
            <w:r>
              <w:rPr>
                <w:color w:val="FF3300"/>
                <w:sz w:val="24"/>
              </w:rPr>
              <w:t>大号中号 小号</w:t>
            </w:r>
          </w:p>
        </w:tc>
      </w:tr>
      <w:tr>
        <w:trPr>
          <w:trHeight w:val="11432" w:hRule="atLeast"/>
        </w:trPr>
        <w:tc>
          <w:tcPr>
            <w:tcW w:w="10780" w:type="dxa"/>
            <w:gridSpan w:val="3"/>
          </w:tcPr>
          <w:p>
            <w:pPr>
              <w:pStyle w:val="TableParagraph"/>
              <w:spacing w:before="5"/>
              <w:ind w:left="0"/>
              <w:rPr>
                <w:rFonts w:ascii="Times New Roman"/>
                <w:sz w:val="21"/>
              </w:rPr>
            </w:pPr>
          </w:p>
          <w:p>
            <w:pPr>
              <w:pStyle w:val="TableParagraph"/>
              <w:ind w:left="281" w:right="263"/>
              <w:jc w:val="center"/>
              <w:rPr>
                <w:sz w:val="24"/>
              </w:rPr>
            </w:pPr>
            <w:r>
              <w:rPr>
                <w:color w:val="FF3300"/>
                <w:sz w:val="24"/>
              </w:rPr>
              <w:t>妙臂印幢陀罗尼经</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如是我闻。一时佛在鸡罗娑山诸兽依处妙宫殿中。与大比丘众千二百五十人。又与无量菩萨摩诃萨俱。文殊师利法王子而为上首。靡不皆如童子之形。并贤护等十六丈夫。</w:t>
            </w:r>
          </w:p>
          <w:p>
            <w:pPr>
              <w:pStyle w:val="TableParagraph"/>
              <w:spacing w:line="362" w:lineRule="auto" w:before="161"/>
              <w:ind w:right="339" w:firstLine="480"/>
              <w:jc w:val="both"/>
              <w:rPr>
                <w:sz w:val="24"/>
              </w:rPr>
            </w:pPr>
            <w:r>
              <w:rPr>
                <w:sz w:val="24"/>
              </w:rPr>
              <w:t>尔时世尊以正念智。为诸天人演说法要皆令欢喜。时大梵王及诸天龙夜叉乾闼婆阿修罗迦楼罗紧那罗摩睺罗伽人非人等。各起合掌前白佛言。世尊有诸众生。由造种种罪恶业故。应堕地狱饿鬼畜生。阎魔罗界备受众苦。唯愿世尊大悲。为说除灭如是苦恼方便。令彼众生皆得解脱诸恶道难。时观自在菩萨摩诃萨。复与无量持咒大仙前后围绕。顶礼佛足白言世尊。惟垂愍念以善方便救诸世间。佛言善男子。有陀罗尼名妙臂印幢。若能常念诵习思惟。速得除灭五无间罪。富贵安乐大姓家生。尔时世尊即说咒曰。</w:t>
            </w:r>
          </w:p>
          <w:p>
            <w:pPr>
              <w:pStyle w:val="TableParagraph"/>
              <w:spacing w:line="362" w:lineRule="auto" w:before="161"/>
              <w:ind w:right="259" w:firstLine="480"/>
              <w:jc w:val="both"/>
              <w:rPr>
                <w:sz w:val="24"/>
              </w:rPr>
            </w:pPr>
            <w:r>
              <w:rPr>
                <w:sz w:val="24"/>
              </w:rPr>
              <w:t>怛侄他迦(居伽反下同)啰迦啰(一)枳利枳利句噜句噜(三)娑啰娑啰(四)徙唎徙唎(五)苏噜苏噜 萨婆佛陀阿婆卢枳帝(七)陀啰陀啰(八)达摩阿婆卢枳帝(九)蔗啰蔗啰(十)僧伽阿提瑟耻帝</w:t>
            </w:r>
          </w:p>
          <w:p>
            <w:pPr>
              <w:pStyle w:val="TableParagraph"/>
              <w:ind w:left="377" w:right="263"/>
              <w:jc w:val="center"/>
              <w:rPr>
                <w:sz w:val="24"/>
              </w:rPr>
            </w:pPr>
            <w:r>
              <w:rPr>
                <w:sz w:val="24"/>
              </w:rPr>
              <w:t>(十一)跋啰跋啰(下啰字长声)阿佞迦(十二)佛陀俱胝婆瑟低(十三)[打-丁+親](初觐反)那[打-丁</w:t>
            </w:r>
          </w:p>
          <w:p>
            <w:pPr>
              <w:pStyle w:val="TableParagraph"/>
              <w:spacing w:line="362" w:lineRule="auto" w:before="157"/>
              <w:ind w:right="355"/>
              <w:jc w:val="both"/>
              <w:rPr>
                <w:sz w:val="24"/>
              </w:rPr>
            </w:pPr>
            <w:r>
              <w:rPr>
                <w:sz w:val="24"/>
              </w:rPr>
              <w:t>+親]那(十四)萨婆阿跋啰那(去声)儞寐(十五)萨婆毒佉阿婆那(去声)耶(十六)勃囇多勃囇多(十七)侄晒多侄晒多(十八)怛吒(搩迦反)怛吒(十九)萨普吒耶(余河反)萨普吒耶(二十)萨婆阿跋啰那阿播耶(二十一)突揭帝宁(二十二)苏婆呵(二十三)</w:t>
            </w:r>
          </w:p>
          <w:p>
            <w:pPr>
              <w:pStyle w:val="TableParagraph"/>
              <w:spacing w:line="362" w:lineRule="auto" w:before="161"/>
              <w:ind w:right="339" w:firstLine="480"/>
              <w:jc w:val="both"/>
              <w:rPr>
                <w:sz w:val="24"/>
              </w:rPr>
            </w:pPr>
            <w:r>
              <w:rPr>
                <w:sz w:val="24"/>
              </w:rPr>
              <w:t>善男子此陀罗尼。恒河沙等诸佛所说。阿难佛世难遇人身难得。受持此咒转复为难。善男子我念往昔。毗婆尸佛次第乃至迦葉如来。咸为我说此陀罗尼。普欲安乐诸众生故。于诸佛所皆亲听受。尔时世尊说此咒已。观自在菩萨摩诃萨等。及天龙八部一切众会。闻佛所说皆大欢喜信受奉行。</w:t>
            </w:r>
          </w:p>
          <w:p>
            <w:pPr>
              <w:pStyle w:val="TableParagraph"/>
              <w:spacing w:before="10"/>
              <w:ind w:left="0"/>
              <w:rPr>
                <w:rFonts w:ascii="Times New Roman"/>
                <w:sz w:val="34"/>
              </w:rPr>
            </w:pPr>
          </w:p>
          <w:p>
            <w:pPr>
              <w:pStyle w:val="TableParagraph"/>
              <w:spacing w:line="324" w:lineRule="auto" w:before="1"/>
              <w:ind w:left="751" w:right="2798"/>
              <w:rPr>
                <w:sz w:val="24"/>
              </w:rPr>
            </w:pPr>
            <w:hyperlink r:id="rId5">
              <w:r>
                <w:rPr>
                  <w:color w:val="878787"/>
                  <w:sz w:val="24"/>
                </w:rPr>
                <w:t>上一部：乾隆大藏经·大乘五大部外重译经·胜幢臂印陀罗尼经一卷</w:t>
              </w:r>
            </w:hyperlink>
            <w:hyperlink r:id="rId6">
              <w:r>
                <w:rPr>
                  <w:color w:val="878787"/>
                  <w:sz w:val="24"/>
                </w:rPr>
                <w:t>下一部：乾隆大藏经·大乘五大部外重译经·佛说陀罗尼集经十三卷</w:t>
              </w:r>
            </w:hyperlink>
          </w:p>
        </w:tc>
      </w:tr>
      <w:tr>
        <w:trPr>
          <w:trHeight w:val="428" w:hRule="atLeast"/>
        </w:trPr>
        <w:tc>
          <w:tcPr>
            <w:tcW w:w="10780" w:type="dxa"/>
            <w:gridSpan w:val="3"/>
            <w:shd w:val="clear" w:color="auto" w:fill="FF9933"/>
          </w:tcPr>
          <w:p>
            <w:pPr>
              <w:pStyle w:val="TableParagraph"/>
              <w:spacing w:before="54"/>
              <w:ind w:left="281" w:right="263"/>
              <w:jc w:val="center"/>
              <w:rPr>
                <w:sz w:val="24"/>
              </w:rPr>
            </w:pPr>
            <w:r>
              <w:rPr>
                <w:color w:val="DDDDDD"/>
                <w:sz w:val="24"/>
              </w:rPr>
              <w:t>乾隆大藏经·大乘五大部外重译经·妙臂印幢陀罗尼经</w:t>
            </w:r>
          </w:p>
        </w:tc>
      </w:tr>
    </w:tbl>
    <w:p>
      <w:pPr>
        <w:rPr>
          <w:sz w:val="2"/>
          <w:szCs w:val="2"/>
        </w:rPr>
      </w:pPr>
      <w:r>
        <w:rPr/>
        <w:pict>
          <v:shape style="position:absolute;margin-left:62.637798pt;margin-top:644.892090pt;width:3.25pt;height:3.25pt;mso-position-horizontal-relative:page;mso-position-vertical-relative:page;z-index:-251738112" coordorigin="1253,12898" coordsize="65,65" path="m1285,12962l1271,12960,1261,12954,1255,12944,1253,12930,1255,12916,1261,12906,1271,12900,1285,12898,1299,12900,1309,12906,1315,12916,1317,12930,1315,12944,1309,12954,1299,12960,1285,12962xe" filled="true" fillcolor="#000000" stroked="false">
            <v:path arrowok="t"/>
            <v:fill type="solid"/>
            <w10:wrap type="none"/>
          </v:shape>
        </w:pict>
      </w:r>
      <w:r>
        <w:rPr/>
        <w:pict>
          <v:shape style="position:absolute;margin-left:62.637798pt;margin-top:665.715515pt;width:3.25pt;height:3.25pt;mso-position-horizontal-relative:page;mso-position-vertical-relative:page;z-index:-251737088" coordorigin="1253,13314" coordsize="65,65" path="m1285,13378l1271,13376,1261,13370,1255,13360,1253,13346,1255,13332,1261,13322,1271,13316,1285,13314,1299,13316,1309,13322,1315,13332,1317,13346,1315,13360,1309,13370,1299,13376,1285,13378xe" filled="true" fillcolor="#000000" stroked="false">
            <v:path arrowok="t"/>
            <v:fill type="solid"/>
            <w10:wrap type="none"/>
          </v:shape>
        </w:pict>
      </w:r>
    </w:p>
    <w:sectPr>
      <w:type w:val="continuous"/>
      <w:pgSz w:w="12240" w:h="15840"/>
      <w:pgMar w:top="70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934" w:hanging="369"/>
      </w:pPr>
      <w:rPr>
        <w:rFonts w:hint="default"/>
        <w:lang w:val="zh-CN" w:eastAsia="zh-CN" w:bidi="zh-CN"/>
      </w:rPr>
    </w:lvl>
    <w:lvl w:ilvl="2">
      <w:start w:val="0"/>
      <w:numFmt w:val="bullet"/>
      <w:lvlText w:val="•"/>
      <w:lvlJc w:val="left"/>
      <w:pPr>
        <w:ind w:left="1228" w:hanging="369"/>
      </w:pPr>
      <w:rPr>
        <w:rFonts w:hint="default"/>
        <w:lang w:val="zh-CN" w:eastAsia="zh-CN" w:bidi="zh-CN"/>
      </w:rPr>
    </w:lvl>
    <w:lvl w:ilvl="3">
      <w:start w:val="0"/>
      <w:numFmt w:val="bullet"/>
      <w:lvlText w:val="•"/>
      <w:lvlJc w:val="left"/>
      <w:pPr>
        <w:ind w:left="1523" w:hanging="369"/>
      </w:pPr>
      <w:rPr>
        <w:rFonts w:hint="default"/>
        <w:lang w:val="zh-CN" w:eastAsia="zh-CN" w:bidi="zh-CN"/>
      </w:rPr>
    </w:lvl>
    <w:lvl w:ilvl="4">
      <w:start w:val="0"/>
      <w:numFmt w:val="bullet"/>
      <w:lvlText w:val="•"/>
      <w:lvlJc w:val="left"/>
      <w:pPr>
        <w:ind w:left="1817" w:hanging="369"/>
      </w:pPr>
      <w:rPr>
        <w:rFonts w:hint="default"/>
        <w:lang w:val="zh-CN" w:eastAsia="zh-CN" w:bidi="zh-CN"/>
      </w:rPr>
    </w:lvl>
    <w:lvl w:ilvl="5">
      <w:start w:val="0"/>
      <w:numFmt w:val="bullet"/>
      <w:lvlText w:val="•"/>
      <w:lvlJc w:val="left"/>
      <w:pPr>
        <w:ind w:left="2112" w:hanging="369"/>
      </w:pPr>
      <w:rPr>
        <w:rFonts w:hint="default"/>
        <w:lang w:val="zh-CN" w:eastAsia="zh-CN" w:bidi="zh-CN"/>
      </w:rPr>
    </w:lvl>
    <w:lvl w:ilvl="6">
      <w:start w:val="0"/>
      <w:numFmt w:val="bullet"/>
      <w:lvlText w:val="•"/>
      <w:lvlJc w:val="left"/>
      <w:pPr>
        <w:ind w:left="2406" w:hanging="369"/>
      </w:pPr>
      <w:rPr>
        <w:rFonts w:hint="default"/>
        <w:lang w:val="zh-CN" w:eastAsia="zh-CN" w:bidi="zh-CN"/>
      </w:rPr>
    </w:lvl>
    <w:lvl w:ilvl="7">
      <w:start w:val="0"/>
      <w:numFmt w:val="bullet"/>
      <w:lvlText w:val="•"/>
      <w:lvlJc w:val="left"/>
      <w:pPr>
        <w:ind w:left="2700" w:hanging="369"/>
      </w:pPr>
      <w:rPr>
        <w:rFonts w:hint="default"/>
        <w:lang w:val="zh-CN" w:eastAsia="zh-CN" w:bidi="zh-CN"/>
      </w:rPr>
    </w:lvl>
    <w:lvl w:ilvl="8">
      <w:start w:val="0"/>
      <w:numFmt w:val="bullet"/>
      <w:lvlText w:val="•"/>
      <w:lvlJc w:val="left"/>
      <w:pPr>
        <w:ind w:left="2995"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57.htm" TargetMode="External"/><Relationship Id="rId6" Type="http://schemas.openxmlformats.org/officeDocument/2006/relationships/hyperlink" Target="http://qldzj.com/htmljw/0359.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2019-12-09T09:26:35Z</dcterms:created>
  <dcterms:modified xsi:type="dcterms:W3CDTF">2019-12-09T09:26:35Z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