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220" w:val="left" w:leader="none"/>
                <w:tab w:pos="7240" w:val="left" w:leader="none"/>
              </w:tabs>
              <w:spacing w:line="290" w:lineRule="exact" w:before="86"/>
              <w:ind w:left="0"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0387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佛语法门经一卷</w:t>
              <w:tab/>
            </w:r>
            <w:r>
              <w:rPr>
                <w:color w:val="DDDDDD"/>
                <w:sz w:val="24"/>
              </w:rPr>
              <w:t>元魏天竺三藏法师菩提流支</w:t>
            </w:r>
          </w:p>
          <w:p>
            <w:pPr>
              <w:pStyle w:val="TableParagraph"/>
              <w:spacing w:line="290" w:lineRule="exact"/>
              <w:ind w:left="0"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佛语法门经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佛语法门经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如是我闻：一时，婆伽婆住毗耶离大林楼阁上，与大比丘众八千人俱，八万四千诸大菩萨， 复有学、无学无量人众，围绕说法。</w:t>
            </w:r>
          </w:p>
          <w:p>
            <w:pPr>
              <w:pStyle w:val="TableParagraph"/>
              <w:spacing w:line="362" w:lineRule="auto" w:before="1"/>
              <w:ind w:right="819" w:firstLine="480"/>
              <w:rPr>
                <w:sz w:val="24"/>
              </w:rPr>
            </w:pPr>
            <w:r>
              <w:rPr>
                <w:sz w:val="24"/>
              </w:rPr>
              <w:t>尔时，会中有一菩萨，名龙威德上王，从座而起，整服右肩，右膝著地，合掌向佛，白言：“世尊，如来先说佛语修多罗诸经，复有说非佛语。世尊，此有何义？云何受持？”</w:t>
            </w:r>
          </w:p>
          <w:p>
            <w:pPr>
              <w:pStyle w:val="TableParagraph"/>
              <w:spacing w:line="362" w:lineRule="auto"/>
              <w:ind w:right="579" w:firstLine="480"/>
              <w:rPr>
                <w:sz w:val="24"/>
              </w:rPr>
            </w:pPr>
            <w:r>
              <w:rPr>
                <w:sz w:val="24"/>
              </w:rPr>
              <w:t>尔时，佛告龙威德上王菩萨言：“善男子，如汝所问，于诸经中而说佛语非佛语者。善男子，如是非语即是佛语。善男子，善思念之，我于今者善为汝说。”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时，龙威德上王菩萨而白佛言：“善哉！世尊，愿乐欲闻。”</w:t>
            </w:r>
          </w:p>
          <w:p>
            <w:pPr>
              <w:pStyle w:val="TableParagraph"/>
              <w:spacing w:line="362" w:lineRule="auto" w:before="157"/>
              <w:ind w:right="579" w:firstLine="480"/>
              <w:rPr>
                <w:sz w:val="24"/>
              </w:rPr>
            </w:pPr>
            <w:r>
              <w:rPr>
                <w:sz w:val="24"/>
              </w:rPr>
              <w:t>佛言：“善男子，言非语者，即是佛语。善男子，言佛语者，是则名为最重身业。我之所说，皆悉无有不利身业、口业、意业，彼亦无语无能说者，亦无言者。</w:t>
            </w:r>
          </w:p>
          <w:p>
            <w:pPr>
              <w:pStyle w:val="TableParagraph"/>
              <w:spacing w:line="362" w:lineRule="auto" w:before="1"/>
              <w:ind w:right="579" w:firstLine="480"/>
              <w:rPr>
                <w:sz w:val="24"/>
              </w:rPr>
            </w:pPr>
            <w:r>
              <w:rPr>
                <w:sz w:val="24"/>
              </w:rPr>
              <w:t>“善男子，诸有色语，皆非佛语。若龙威德上王，色非语，非佛语者；受、想、行、识非语，亦非佛语。善男子，若无色语，无受、想、行、识语者，是名佛语。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“善男子，若有身、口、意业语者，不名佛语。善男子，若无身、口、意业语者，是名佛</w:t>
            </w:r>
          </w:p>
          <w:p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语。</w:t>
            </w:r>
          </w:p>
          <w:p>
            <w:pPr>
              <w:pStyle w:val="TableParagraph"/>
              <w:spacing w:line="362" w:lineRule="auto" w:before="157"/>
              <w:ind w:right="339" w:firstLine="480"/>
              <w:rPr>
                <w:sz w:val="24"/>
              </w:rPr>
            </w:pPr>
            <w:r>
              <w:rPr>
                <w:sz w:val="24"/>
              </w:rPr>
              <w:t>“善男子，若有地水火风空界，如是等语不名佛语。善男子，若有不说地水火风空界等者， 是名佛语。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“善男子，若有贪瞋痴语，不名佛语。善男子，若无贪瞋痴语，是名佛语。</w:t>
            </w:r>
          </w:p>
          <w:p>
            <w:pPr>
              <w:pStyle w:val="TableParagraph"/>
              <w:spacing w:before="157"/>
              <w:ind w:left="808"/>
              <w:rPr>
                <w:sz w:val="24"/>
              </w:rPr>
            </w:pPr>
            <w:r>
              <w:rPr>
                <w:sz w:val="24"/>
              </w:rPr>
              <w:t>“善男子，若有漏语及无漏语，不名佛语。善男子，若非漏语，非无漏语，是名佛语。</w:t>
            </w:r>
          </w:p>
          <w:p>
            <w:pPr>
              <w:pStyle w:val="TableParagraph"/>
              <w:spacing w:line="362" w:lineRule="auto" w:before="157"/>
              <w:ind w:right="339" w:firstLine="480"/>
              <w:rPr>
                <w:sz w:val="24"/>
              </w:rPr>
            </w:pPr>
            <w:r>
              <w:rPr>
                <w:sz w:val="24"/>
              </w:rPr>
              <w:t>“善男子，若有所希，如是语者不名佛语，以彼佛语不希求故。善男子，若无高下，如是语者是名佛语。</w:t>
            </w:r>
          </w:p>
          <w:p>
            <w:pPr>
              <w:pStyle w:val="TableParagraph"/>
              <w:spacing w:line="362" w:lineRule="auto"/>
              <w:ind w:left="808" w:right="339"/>
              <w:rPr>
                <w:sz w:val="24"/>
              </w:rPr>
            </w:pPr>
            <w:r>
              <w:rPr>
                <w:sz w:val="24"/>
              </w:rPr>
              <w:t>“善男子，若有事语、非事语者，不名佛语。善男子，若有非事、非非事语，是名佛语。 “善男子，若于自性清净法上言得证者，彼非佛语。善男子，若非自性、非他性语，是名佛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语。</w:t>
            </w:r>
          </w:p>
          <w:p>
            <w:pPr>
              <w:pStyle w:val="TableParagraph"/>
              <w:spacing w:line="362" w:lineRule="auto" w:before="157"/>
              <w:ind w:left="808" w:right="339"/>
              <w:rPr>
                <w:sz w:val="24"/>
              </w:rPr>
            </w:pPr>
            <w:r>
              <w:rPr>
                <w:sz w:val="24"/>
              </w:rPr>
              <w:t>“善男子，若有实语、非实语者，不名佛语。善男子，若无实语，无不实语，是名佛语。 “善男子，若有此语，是凡夫人之所说语，此是圣人之所说语，不名佛语。善男子，若无凡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语、无圣人语，是名佛语。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“善男子，若有内语，及有外语、内外语者，不名佛语。善男子，若无内语，及无外语、内外语者，是名佛语。</w:t>
      </w:r>
    </w:p>
    <w:p>
      <w:pPr>
        <w:pStyle w:val="BodyText"/>
        <w:spacing w:line="362" w:lineRule="auto"/>
      </w:pPr>
      <w:r>
        <w:rPr/>
        <w:t>“善男子，若于诸法有色所依，受、想、行、识所依语者，不名佛语。善男子，若于诸法无色可依，亦无受、想、行、识可依，如是语者，是名佛语。</w:t>
      </w:r>
    </w:p>
    <w:p>
      <w:pPr>
        <w:pStyle w:val="BodyText"/>
        <w:spacing w:line="362" w:lineRule="auto" w:before="0"/>
      </w:pPr>
      <w:r>
        <w:rPr/>
        <w:t>“善男子，若有处语，是魔王语，是魔民语，不名佛语。善男子，若无一切诸处语者，是名佛语。</w:t>
      </w:r>
    </w:p>
    <w:p>
      <w:pPr>
        <w:pStyle w:val="BodyText"/>
        <w:spacing w:line="362" w:lineRule="auto"/>
      </w:pPr>
      <w:r>
        <w:rPr/>
        <w:t>“善男子，若有色觉分别而语，受、想、行、识觉分别语，不名佛语。善男子，若无色觉分别而语、受想行识觉分别语，是名佛语。以此义故，魔及魔民不得其便。</w:t>
      </w:r>
    </w:p>
    <w:p>
      <w:pPr>
        <w:pStyle w:val="BodyText"/>
        <w:spacing w:line="362" w:lineRule="auto" w:before="0"/>
      </w:pPr>
      <w:r>
        <w:rPr/>
        <w:t>“复次，善男子，言菩萨者，若色无我，亦不分别非是我所；如是受、想、行、识无我，亦不分别非我所者，名为菩萨。”</w:t>
      </w:r>
    </w:p>
    <w:p>
      <w:pPr>
        <w:pStyle w:val="BodyText"/>
        <w:spacing w:before="0"/>
        <w:ind w:left="930" w:right="0" w:firstLine="0"/>
      </w:pPr>
      <w:r>
        <w:rPr/>
        <w:t>时，龙威德上王菩萨，面白佛言：“世尊，以何义故，而有言说？何者言说？”</w:t>
      </w:r>
    </w:p>
    <w:p>
      <w:pPr>
        <w:pStyle w:val="BodyText"/>
        <w:spacing w:line="362" w:lineRule="auto" w:before="158"/>
      </w:pPr>
      <w:r>
        <w:rPr/>
        <w:t>佛言：“善男子，魔波卑掾。复次，善男子，若菩萨色不作念‘我当如是’，受、想、行、识亦不作念‘我当如是’，如是菩萨于一切处皆无有语。龙威德上王，诸善男子有上胜者，断一切语，断一切障，灭诸我慢，断一切网，离诸二见，离一切想，以无语故，云何有言？亦无可 语！是故非语名为佛语。善男子，以此义故，当如是知，此是佛语。</w:t>
      </w:r>
    </w:p>
    <w:p>
      <w:pPr>
        <w:pStyle w:val="BodyText"/>
        <w:spacing w:line="362" w:lineRule="auto" w:before="0"/>
        <w:ind w:right="717"/>
        <w:jc w:val="both"/>
      </w:pPr>
      <w:r>
        <w:rPr/>
        <w:t>“善男子，若无身无身行，无口无口行，无意无意行，非行非非行，非谤非不谤，不生不起，无想无处，无住无没，非寂非行，谛语不动复非不动而亦不住，自然不缘亦非不缘。善男子，此是佛语。以彼无有可能语故，是名佛语。</w:t>
      </w:r>
    </w:p>
    <w:p>
      <w:pPr>
        <w:pStyle w:val="BodyText"/>
        <w:spacing w:line="362" w:lineRule="auto"/>
      </w:pPr>
      <w:r>
        <w:rPr/>
        <w:t>“善男子，菩萨能作如是学已，是则名为学上上智光明佛语、清凉佛语，遍悦一切诸众生 身，开发一切诸众生意，趣向佛智，受持法义，遍悦一切诸菩萨众，觉诸睡者善入法界。是善决定向于法轮、转于法轮、击大法鼓，降诸魔众，降伏异怨，降伏一切诸外道众。是能救护向恶道者，是能庄严诸佛世界，是一切佛之所称叹，必坐道场。如是菩萨已坐道场，如是菩萨已得菩萨诸陀罗尼。”</w:t>
      </w:r>
    </w:p>
    <w:p>
      <w:pPr>
        <w:pStyle w:val="BodyText"/>
        <w:spacing w:line="362" w:lineRule="auto"/>
        <w:jc w:val="both"/>
      </w:pPr>
      <w:r>
        <w:rPr/>
        <w:t>说此佛语法门之时，圣龙威德上王菩萨，菩提分法皆悉满足，即时获得无生法忍。二万六千诸菩萨等，得陀罗尼及诸三昧。八千比丘得无漏法。复有八万四千众生，皆发阿耨多罗三藐三菩提心，即以神力雨种种华供养世尊。</w:t>
      </w:r>
    </w:p>
    <w:p>
      <w:pPr>
        <w:pStyle w:val="BodyText"/>
        <w:spacing w:line="362" w:lineRule="auto"/>
      </w:pPr>
      <w:r>
        <w:rPr/>
        <w:t>如来说是法门之时，圣龙威德上王菩萨，及诸大众天、人、阿修罗、迦楼罗、紧那罗、摩睺罗伽等，一切大众闻佛所说，皆大欢喜，信受奉行。</w:t>
      </w:r>
    </w:p>
    <w:p>
      <w:pPr>
        <w:pStyle w:val="BodyText"/>
        <w:ind w:left="0" w:right="0" w:firstLine="0"/>
        <w:rPr>
          <w:sz w:val="26"/>
        </w:rPr>
      </w:pPr>
    </w:p>
    <w:p>
      <w:pPr>
        <w:pStyle w:val="BodyText"/>
        <w:spacing w:line="324" w:lineRule="auto" w:before="66"/>
        <w:ind w:left="873" w:right="4137" w:firstLine="0"/>
      </w:pPr>
      <w:r>
        <w:rPr/>
        <w:pict>
          <v:shape style="position:absolute;margin-left:62.637798pt;margin-top:10.494565pt;width:3.25pt;height:3.25pt;mso-position-horizontal-relative:page;mso-position-vertical-relative:paragraph;z-index:251660288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17965pt;width:3.25pt;height:3.25pt;mso-position-horizontal-relative:page;mso-position-vertical-relative:paragraph;z-index:251661312" coordorigin="1253,626" coordsize="65,65" path="m1285,690l1271,688,1261,682,1255,672,1253,658,1255,644,1261,634,1271,628,1285,626,1299,628,1309,634,1315,644,1317,658,1315,672,1309,682,1299,688,1285,690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上一部：乾隆大藏经·大乘单译经·佛说金色王经一卷</w:t>
        </w:r>
      </w:hyperlink>
      <w:hyperlink r:id="rId6">
        <w:r>
          <w:rPr>
            <w:color w:val="878787"/>
          </w:rPr>
          <w:t> 下一部：乾隆大藏经·大乘单译经·佛说四不可得经一卷</w:t>
        </w:r>
      </w:hyperlink>
    </w:p>
    <w:p>
      <w:pPr>
        <w:spacing w:after="0" w:line="324" w:lineRule="auto"/>
        <w:sectPr>
          <w:pgSz w:w="12240" w:h="15840"/>
          <w:pgMar w:top="580" w:bottom="280" w:left="580" w:right="640"/>
        </w:sectPr>
      </w:pPr>
    </w:p>
    <w:p>
      <w:pPr>
        <w:tabs>
          <w:tab w:pos="10892" w:val="left" w:leader="none"/>
        </w:tabs>
        <w:spacing w:line="129" w:lineRule="exact"/>
        <w:ind w:left="112" w:right="0" w:firstLine="0"/>
        <w:rPr>
          <w:sz w:val="12"/>
        </w:rPr>
      </w:pPr>
      <w:r>
        <w:rPr>
          <w:position w:val="-2"/>
          <w:sz w:val="12"/>
        </w:rPr>
        <w:pict>
          <v:group style="width:.85pt;height:6.5pt;mso-position-horizontal-relative:char;mso-position-vertical-relative:line" coordorigin="0,0" coordsize="17,130">
            <v:rect style="position:absolute;left:0;top:0;width:17;height:130" filled="true" fillcolor="#000000" stroked="false">
              <v:fill type="solid"/>
            </v:rect>
          </v:group>
        </w:pict>
      </w:r>
      <w:r>
        <w:rPr>
          <w:position w:val="-2"/>
          <w:sz w:val="12"/>
        </w:rPr>
      </w:r>
      <w:r>
        <w:rPr>
          <w:position w:val="-2"/>
          <w:sz w:val="12"/>
        </w:rPr>
        <w:tab/>
      </w:r>
      <w:r>
        <w:rPr>
          <w:position w:val="-2"/>
          <w:sz w:val="12"/>
        </w:rPr>
        <w:pict>
          <v:group style="width:.85pt;height:6.5pt;mso-position-horizontal-relative:char;mso-position-vertical-relative:line" coordorigin="0,0" coordsize="17,130">
            <v:rect style="position:absolute;left:0;top:0;width:17;height:130" filled="true" fillcolor="#000000" stroked="false">
              <v:fill type="solid"/>
            </v:rect>
          </v:group>
        </w:pict>
      </w:r>
      <w:r>
        <w:rPr>
          <w:position w:val="-2"/>
          <w:sz w:val="12"/>
        </w:rPr>
      </w:r>
    </w:p>
    <w:p>
      <w:pPr>
        <w:pStyle w:val="BodyText"/>
        <w:spacing w:before="0"/>
        <w:ind w:left="112" w:right="0" w:firstLine="0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9.050pt;height:22.45pt;mso-position-horizontal-relative:char;mso-position-vertical-relative:line" type="#_x0000_t202" filled="true" fillcolor="#ff9933" stroked="true" strokeweight=".80090pt" strokecolor="#000000">
            <w10:anchorlock/>
            <v:textbox inset="0,0,0,0">
              <w:txbxContent>
                <w:p>
                  <w:pPr>
                    <w:pStyle w:val="BodyText"/>
                    <w:spacing w:before="64"/>
                    <w:ind w:left="3323" w:right="3321" w:firstLine="0"/>
                    <w:jc w:val="center"/>
                  </w:pPr>
                  <w:r>
                    <w:rPr>
                      <w:color w:val="DDDDDD"/>
                    </w:rPr>
                    <w:t>乾隆大藏经·大乘单译经·佛语法门经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86.htm" TargetMode="External"/><Relationship Id="rId6" Type="http://schemas.openxmlformats.org/officeDocument/2006/relationships/hyperlink" Target="http://qldzj.com/htmljw/038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2019-12-13T11:35:18Z</dcterms:created>
  <dcterms:modified xsi:type="dcterms:W3CDTF">2019-12-13T11:35:18Z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