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476" w:hRule="atLeast"/>
        </w:trPr>
        <w:tc>
          <w:tcPr>
            <w:tcW w:w="10780" w:type="dxa"/>
            <w:shd w:val="clear" w:color="auto" w:fill="FF9933"/>
          </w:tcPr>
          <w:p>
            <w:pPr>
              <w:pStyle w:val="TableParagraph"/>
              <w:tabs>
                <w:tab w:pos="4067" w:val="left" w:leader="none"/>
                <w:tab w:pos="8528" w:val="left" w:leader="none"/>
              </w:tabs>
              <w:spacing w:before="86"/>
              <w:rPr>
                <w:sz w:val="24"/>
              </w:rPr>
            </w:pPr>
            <w:r>
              <w:rPr>
                <w:color w:val="DDDDDD"/>
                <w:sz w:val="24"/>
              </w:rPr>
              <w:t>大乘单译经·第</w:t>
            </w:r>
            <w:r>
              <w:rPr>
                <w:color w:val="DDDDDD"/>
                <w:spacing w:val="8"/>
                <w:sz w:val="24"/>
              </w:rPr>
              <w:t>0431</w:t>
            </w:r>
            <w:r>
              <w:rPr>
                <w:color w:val="DDDDDD"/>
                <w:sz w:val="24"/>
              </w:rPr>
              <w:t>部</w:t>
              <w:tab/>
            </w:r>
            <w:r>
              <w:rPr>
                <w:color w:val="EDFFFF"/>
                <w:sz w:val="24"/>
              </w:rPr>
              <w:t>菩萨内习六波罗蜜经一卷</w:t>
              <w:tab/>
            </w:r>
            <w:r>
              <w:rPr>
                <w:color w:val="DDDDDD"/>
                <w:sz w:val="24"/>
              </w:rPr>
              <w:t>后汉沙门严佛调译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w:t>
            </w:r>
            <w:r>
              <w:rPr>
                <w:color w:val="FF3300"/>
                <w:spacing w:val="8"/>
                <w:sz w:val="24"/>
              </w:rPr>
              <w:t> </w:t>
            </w:r>
            <w:r>
              <w:rPr>
                <w:color w:val="FF3300"/>
                <w:sz w:val="24"/>
              </w:rPr>
              <w:t>中</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小</w:t>
            </w:r>
          </w:p>
          <w:p>
            <w:pPr>
              <w:pStyle w:val="TableParagraph"/>
              <w:spacing w:before="77"/>
              <w:ind w:left="543"/>
              <w:rPr>
                <w:sz w:val="24"/>
              </w:rPr>
            </w:pPr>
            <w:r>
              <w:rPr>
                <w:color w:val="FF3300"/>
                <w:sz w:val="24"/>
              </w:rPr>
              <w:t>菩萨内习六波罗蜜经</w:t>
            </w:r>
          </w:p>
        </w:tc>
      </w:tr>
      <w:tr>
        <w:trPr>
          <w:trHeight w:val="12891" w:hRule="atLeast"/>
        </w:trPr>
        <w:tc>
          <w:tcPr>
            <w:tcW w:w="10780" w:type="dxa"/>
            <w:tcBorders>
              <w:bottom w:val="nil"/>
            </w:tcBorders>
          </w:tcPr>
          <w:p>
            <w:pPr>
              <w:pStyle w:val="TableParagraph"/>
              <w:spacing w:before="5"/>
              <w:ind w:left="0"/>
              <w:rPr>
                <w:rFonts w:ascii="Times New Roman"/>
                <w:sz w:val="21"/>
              </w:rPr>
            </w:pPr>
          </w:p>
          <w:p>
            <w:pPr>
              <w:pStyle w:val="TableParagraph"/>
              <w:spacing w:before="0"/>
              <w:ind w:left="4289" w:right="4271"/>
              <w:jc w:val="center"/>
              <w:rPr>
                <w:sz w:val="24"/>
              </w:rPr>
            </w:pPr>
            <w:r>
              <w:rPr>
                <w:color w:val="FF3300"/>
                <w:sz w:val="24"/>
              </w:rPr>
              <w:t>菩萨内习六波罗蜜经</w:t>
            </w:r>
          </w:p>
          <w:p>
            <w:pPr>
              <w:pStyle w:val="TableParagraph"/>
              <w:spacing w:before="2"/>
              <w:ind w:left="0"/>
              <w:rPr>
                <w:rFonts w:ascii="Times New Roman"/>
                <w:sz w:val="26"/>
              </w:rPr>
            </w:pPr>
          </w:p>
          <w:p>
            <w:pPr>
              <w:pStyle w:val="TableParagraph"/>
              <w:spacing w:line="362" w:lineRule="auto" w:before="0"/>
              <w:ind w:right="339" w:firstLine="480"/>
              <w:rPr>
                <w:sz w:val="24"/>
              </w:rPr>
            </w:pPr>
            <w:r>
              <w:rPr>
                <w:sz w:val="24"/>
              </w:rPr>
              <w:t>佛言欲学菩萨道者。当从此始。一数二随三止四观五还六净。佛言一数。为檀波罗蜜。数息者神得上天。为布施身中神。自致得须陀洹斯陀含阿那含阿罗汉辟支佛得作佛。是为内檀波罗 蜜。为布施得度。</w:t>
            </w:r>
          </w:p>
          <w:p>
            <w:pPr>
              <w:pStyle w:val="TableParagraph"/>
              <w:spacing w:line="362" w:lineRule="auto"/>
              <w:ind w:right="339" w:firstLine="480"/>
              <w:rPr>
                <w:sz w:val="24"/>
              </w:rPr>
            </w:pPr>
            <w:r>
              <w:rPr>
                <w:sz w:val="24"/>
              </w:rPr>
              <w:t>佛言二相随。为尸波罗蜜。意与心相随俱出入。不邪念意不转为不犯道禁。是为内尸波罗 蜜。为不犯道禁得度。佛言三止为羼提波罗蜜。意欲淫怒嗔恚。能忍不为。口欲甘肥美味。身欲得细滑。自制意能忍不受。是为内羼提波罗蜜。为忍辱得度。佛言四明观为惟逮波罗蜜。内观三身体外观万物。皆当坏败无有常存。不复贪心向道念无为常分别不懈怠。是为内惟逮波罗蜜。为精进得度。</w:t>
            </w:r>
          </w:p>
          <w:p>
            <w:pPr>
              <w:pStyle w:val="TableParagraph"/>
              <w:spacing w:line="362" w:lineRule="auto"/>
              <w:ind w:right="339" w:firstLine="480"/>
              <w:jc w:val="both"/>
              <w:rPr>
                <w:sz w:val="24"/>
              </w:rPr>
            </w:pPr>
            <w:r>
              <w:rPr>
                <w:sz w:val="24"/>
              </w:rPr>
              <w:t>佛言五还为禅波罗蜜。断六入还五阴。何谓六入。色入眼为衰。声入耳为衰。香入鼻为衰。味入口为衰。细滑入身为衰。多念令心衰。是为六入。亦为六衰。亦为五阴。何谓五阴。色阴痛痒阴思想阴生殊阴识阴。是为五阴。还身守净断求念空。是为内禅波罗蜜。而守一得度。</w:t>
            </w:r>
          </w:p>
          <w:p>
            <w:pPr>
              <w:pStyle w:val="TableParagraph"/>
              <w:spacing w:line="362" w:lineRule="auto"/>
              <w:ind w:right="339" w:firstLine="480"/>
              <w:jc w:val="both"/>
              <w:rPr>
                <w:sz w:val="24"/>
              </w:rPr>
            </w:pPr>
            <w:r>
              <w:rPr>
                <w:sz w:val="24"/>
              </w:rPr>
              <w:t>佛言六净为般若波罗蜜。知人万物皆当消灭。意不净向生死爱欲断。心净洁智慧成就。是为内摩诃般若波罗蜜从黠慧得度。问曰。何等为檀何等为尸何等为羼何等为惟逮何等为禅何等为般若何等为波罗蜜。佛言檀为布施尸为持戒羼为忍辱惟逮为精进禅为弃恶般若为黠慧。波罗为从生死得度。蜜为无极。是为六波罗蜜。</w:t>
            </w:r>
          </w:p>
          <w:p>
            <w:pPr>
              <w:pStyle w:val="TableParagraph"/>
              <w:ind w:left="808"/>
              <w:rPr>
                <w:sz w:val="24"/>
              </w:rPr>
            </w:pPr>
            <w:r>
              <w:rPr>
                <w:sz w:val="24"/>
              </w:rPr>
              <w:t>问曰何以故。正有六波罗蜜。</w:t>
            </w:r>
          </w:p>
          <w:p>
            <w:pPr>
              <w:pStyle w:val="TableParagraph"/>
              <w:spacing w:before="6"/>
              <w:ind w:left="0"/>
              <w:rPr>
                <w:rFonts w:ascii="Times New Roman"/>
                <w:sz w:val="27"/>
              </w:rPr>
            </w:pPr>
          </w:p>
          <w:p>
            <w:pPr>
              <w:pStyle w:val="TableParagraph"/>
              <w:spacing w:line="362" w:lineRule="auto" w:before="1"/>
              <w:ind w:right="339" w:firstLine="480"/>
              <w:rPr>
                <w:sz w:val="24"/>
              </w:rPr>
            </w:pPr>
            <w:r>
              <w:rPr>
                <w:sz w:val="24"/>
              </w:rPr>
              <w:t>佛言用人有淫怒嗔恚愚痴故。行布施为除恶贪。持戒为除淫怒。忍辱为除嗔恚。精进为除懈怠。一心为除乱意。智慧为除愚痴。用欲去六事故。作是六波罗蜜。</w:t>
            </w:r>
          </w:p>
          <w:p>
            <w:pPr>
              <w:pStyle w:val="TableParagraph"/>
              <w:spacing w:line="362" w:lineRule="auto" w:before="176"/>
              <w:ind w:right="339" w:firstLine="480"/>
              <w:rPr>
                <w:sz w:val="24"/>
              </w:rPr>
            </w:pPr>
            <w:r>
              <w:rPr>
                <w:sz w:val="24"/>
              </w:rPr>
              <w:t>佛言人有六匿贼盗断恶故。作檀波罗蜜主制身。尸波罗蜜主制眼。羼提波罗蜜主制耳。惟逮波罗蜜主制鼻。禅波罗蜜主制口。般若波罗蜜主制意。</w:t>
            </w:r>
          </w:p>
          <w:p>
            <w:pPr>
              <w:pStyle w:val="TableParagraph"/>
              <w:ind w:left="808"/>
              <w:rPr>
                <w:sz w:val="24"/>
              </w:rPr>
            </w:pPr>
            <w:r>
              <w:rPr>
                <w:sz w:val="24"/>
              </w:rPr>
              <w:t>问曰何以故。身应檀波罗蜜。</w:t>
            </w:r>
          </w:p>
          <w:p>
            <w:pPr>
              <w:pStyle w:val="TableParagraph"/>
              <w:spacing w:before="6"/>
              <w:ind w:left="0"/>
              <w:rPr>
                <w:rFonts w:ascii="Times New Roman"/>
                <w:sz w:val="27"/>
              </w:rPr>
            </w:pPr>
          </w:p>
          <w:p>
            <w:pPr>
              <w:pStyle w:val="TableParagraph"/>
              <w:spacing w:before="0"/>
              <w:ind w:left="808"/>
              <w:rPr>
                <w:sz w:val="24"/>
              </w:rPr>
            </w:pPr>
            <w:r>
              <w:rPr>
                <w:sz w:val="24"/>
              </w:rPr>
              <w:t>佛言人索头与头索眼与眼索肉与肉投身饿虎。是为布施故。属檀波罗蜜。</w:t>
            </w:r>
          </w:p>
        </w:tc>
      </w:tr>
    </w:tbl>
    <w:p>
      <w:pPr>
        <w:spacing w:after="0"/>
        <w:rPr>
          <w:sz w:val="24"/>
        </w:rPr>
        <w:sectPr>
          <w:type w:val="continuous"/>
          <w:pgSz w:w="12240" w:h="15840"/>
          <w:pgMar w:top="700" w:bottom="280" w:left="580" w:right="640"/>
        </w:sectPr>
      </w:pPr>
    </w:p>
    <w:p>
      <w:pPr>
        <w:pStyle w:val="BodyText"/>
        <w:spacing w:before="81"/>
      </w:pPr>
      <w:r>
        <w:rPr/>
        <w:pict>
          <v:group style="position:absolute;margin-left:34.6063pt;margin-top:28.999924pt;width:539.85pt;height:681.6pt;mso-position-horizontal-relative:page;mso-position-vertical-relative:page;z-index:-251736064" coordorigin="692,580" coordsize="10797,13632">
            <v:line style="position:absolute" from="11480,580" to="11480,13747" stroked="true" strokeweight=".80090pt" strokecolor="#000000">
              <v:stroke dashstyle="solid"/>
            </v:line>
            <v:line style="position:absolute" from="700,580" to="700,13747" stroked="true" strokeweight=".80090pt" strokecolor="#000000">
              <v:stroke dashstyle="solid"/>
            </v:line>
            <v:rect style="position:absolute;left:692;top:13747;width:10797;height:465" filled="true" fillcolor="#ff9933" stroked="false">
              <v:fill type="solid"/>
            </v:rect>
            <v:rect style="position:absolute;left:700;top:13755;width:10781;height:449" filled="false" stroked="true" strokeweight=".80090pt" strokecolor="#000000">
              <v:stroke dashstyle="solid"/>
            </v:rect>
            <v:shape style="position:absolute;left:1252;top:12578;width:65;height:481" coordorigin="1253,12578" coordsize="65,481" path="m1317,13027l1315,13013,1309,13003,1299,12997,1285,12995,1271,12997,1261,13003,1255,13013,1253,13027,1255,13041,1261,13051,1271,13057,1285,13059,1299,13057,1309,13051,1315,13041,1317,13027m1317,12610l1315,12596,1309,12586,1299,12580,1285,12578,1271,12580,1261,12586,1255,12596,1253,12610,1255,12624,1261,12634,1271,12640,1285,12642,1299,12640,1309,12634,1315,12624,1317,12610e" filled="true" fillcolor="#000000" stroked="false">
              <v:path arrowok="t"/>
              <v:fill type="solid"/>
            </v:shape>
            <w10:wrap type="none"/>
          </v:group>
        </w:pict>
      </w:r>
      <w:r>
        <w:rPr/>
        <w:t>问曰何以故。眼应尸波罗蜜。</w:t>
      </w:r>
    </w:p>
    <w:p>
      <w:pPr>
        <w:pStyle w:val="BodyText"/>
        <w:spacing w:before="9"/>
        <w:ind w:left="0"/>
      </w:pPr>
    </w:p>
    <w:p>
      <w:pPr>
        <w:pStyle w:val="BodyText"/>
        <w:spacing w:line="487" w:lineRule="auto"/>
        <w:ind w:right="4801"/>
      </w:pPr>
      <w:r>
        <w:rPr>
          <w:spacing w:val="-1"/>
        </w:rPr>
        <w:t>佛言眼不随色意不乱念。是为持戒故属尸波罗蜜。</w:t>
      </w:r>
      <w:r>
        <w:rPr/>
        <w:t>问曰何以故。耳应羼提波罗蜜。</w:t>
      </w:r>
    </w:p>
    <w:p>
      <w:pPr>
        <w:pStyle w:val="BodyText"/>
        <w:spacing w:line="487" w:lineRule="auto" w:before="1"/>
        <w:ind w:right="4801"/>
      </w:pPr>
      <w:r>
        <w:rPr>
          <w:spacing w:val="-1"/>
        </w:rPr>
        <w:t>佛言耳闻恶声不嗔恚是为忍辱故。属羼提波罗蜜。</w:t>
      </w:r>
      <w:r>
        <w:rPr/>
        <w:t>问曰何以故。鼻应惟逮波罗蜜。</w:t>
      </w:r>
    </w:p>
    <w:p>
      <w:pPr>
        <w:pStyle w:val="BodyText"/>
        <w:spacing w:line="487" w:lineRule="auto" w:before="1"/>
        <w:ind w:right="3840"/>
      </w:pPr>
      <w:r>
        <w:rPr/>
        <w:t>佛言鼻知息出入。常守不离。是为精进故。属惟逮波罗蜜。问曰何以故。口应禅波罗蜜。</w:t>
      </w:r>
    </w:p>
    <w:p>
      <w:pPr>
        <w:pStyle w:val="BodyText"/>
        <w:spacing w:line="487" w:lineRule="auto" w:before="17"/>
        <w:ind w:right="3360"/>
      </w:pPr>
      <w:r>
        <w:rPr/>
        <w:t>佛言口不骂詈不两舌不妄言不绮语。是为寂然故。属禅波罗蜜。问曰何以故。意应般若波罗蜜。</w:t>
      </w:r>
    </w:p>
    <w:p>
      <w:pPr>
        <w:pStyle w:val="BodyText"/>
        <w:spacing w:line="362" w:lineRule="auto" w:before="1"/>
        <w:ind w:left="449" w:right="477" w:firstLine="480"/>
      </w:pPr>
      <w:r>
        <w:rPr/>
        <w:t>佛语阿难。汝曹为道。常当晓了知定诸垢浊秽清净自然不起不灭悉断诸根。诸根断已。不得复生。为道者。当发平等广度一切。施立法桥。当令一切得入法门。广作唱导。无端无底无形无声无边无际无上无下立教当施。本无之中持法。当使如来求道。当在于心。心意不正道亦不生立行。当于本无之中垢浊以除。内外清净。从净见明。以致自然已现是空之净。净而复净空而复 空。空无所有是乃为道。道之本无。无所倚着。上无所攀。下无所据。左无所牵。右无所持。自然而立清净为本。空空之空故曰泥洹。于有而无所有故为有。于无而不无是为无。于得而无所得是为得也。</w:t>
      </w:r>
    </w:p>
    <w:p>
      <w:pPr>
        <w:pStyle w:val="BodyText"/>
        <w:spacing w:line="362" w:lineRule="auto" w:before="162"/>
        <w:ind w:right="6724"/>
        <w:jc w:val="both"/>
      </w:pPr>
      <w:r>
        <w:rPr/>
        <w:t>第一发意菩萨   第二持地菩萨第三应行菩萨   第四生贵菩萨第五修成菩萨   第六行登菩萨第七不退转菩萨 第八童真菩萨第九了生菩萨 第十补处菩萨</w:t>
      </w:r>
    </w:p>
    <w:p>
      <w:pPr>
        <w:pStyle w:val="BodyText"/>
        <w:spacing w:before="2"/>
        <w:ind w:left="0"/>
        <w:rPr>
          <w:sz w:val="26"/>
        </w:rPr>
      </w:pPr>
    </w:p>
    <w:p>
      <w:pPr>
        <w:pStyle w:val="BodyText"/>
        <w:spacing w:before="66"/>
        <w:ind w:left="873"/>
      </w:pPr>
      <w:hyperlink r:id="rId5">
        <w:r>
          <w:rPr>
            <w:color w:val="878787"/>
          </w:rPr>
          <w:t>上一部：乾隆大藏经·大乘单译经·央掘魔罗经四卷</w:t>
        </w:r>
      </w:hyperlink>
    </w:p>
    <w:p>
      <w:pPr>
        <w:pStyle w:val="BodyText"/>
        <w:spacing w:before="109"/>
        <w:ind w:left="873"/>
      </w:pPr>
      <w:hyperlink r:id="rId6">
        <w:r>
          <w:rPr>
            <w:color w:val="878787"/>
          </w:rPr>
          <w:t>下一部：乾隆大藏经·大乘单译经·菩萨投身饲饿虎起塔因缘经一卷</w:t>
        </w:r>
      </w:hyperlink>
    </w:p>
    <w:p>
      <w:pPr>
        <w:pStyle w:val="BodyText"/>
        <w:ind w:left="0"/>
      </w:pPr>
    </w:p>
    <w:p>
      <w:pPr>
        <w:pStyle w:val="BodyText"/>
        <w:spacing w:before="3"/>
        <w:ind w:left="0"/>
        <w:rPr>
          <w:sz w:val="28"/>
        </w:rPr>
      </w:pPr>
    </w:p>
    <w:p>
      <w:pPr>
        <w:pStyle w:val="BodyText"/>
        <w:ind w:left="2971" w:right="2968"/>
        <w:jc w:val="center"/>
      </w:pPr>
      <w:r>
        <w:rPr>
          <w:color w:val="DDDDDD"/>
        </w:rPr>
        <w:t>乾隆大藏经·大乘单译经·菩萨内习六波罗蜜经</w: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930"/>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spacing w:before="161"/>
      <w:ind w:left="327"/>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30.htm" TargetMode="External"/><Relationship Id="rId6" Type="http://schemas.openxmlformats.org/officeDocument/2006/relationships/hyperlink" Target="http://qldzj.com/htmljw/0432.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2019-12-13T12:32:20Z</dcterms:created>
  <dcterms:modified xsi:type="dcterms:W3CDTF">2019-12-13T12:32:20Z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