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404"/>
        <w:gridCol w:w="3759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大乘单译经·第0478部</w:t>
            </w:r>
          </w:p>
        </w:tc>
        <w:tc>
          <w:tcPr>
            <w:tcW w:w="340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941"/>
              <w:rPr>
                <w:sz w:val="24"/>
              </w:rPr>
            </w:pPr>
            <w:r>
              <w:rPr>
                <w:color w:val="EDFFFF"/>
                <w:sz w:val="24"/>
              </w:rPr>
              <w:t>佛说咒齿经一卷</w:t>
            </w:r>
          </w:p>
        </w:tc>
        <w:tc>
          <w:tcPr>
            <w:tcW w:w="375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97"/>
              <w:rPr>
                <w:sz w:val="24"/>
              </w:rPr>
            </w:pPr>
            <w:r>
              <w:rPr>
                <w:color w:val="DDDDDD"/>
                <w:sz w:val="24"/>
              </w:rPr>
              <w:t>东晋西域三藏竺昙无兰译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佛说咒齿经</w:t>
            </w:r>
          </w:p>
        </w:tc>
        <w:tc>
          <w:tcPr>
            <w:tcW w:w="340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75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2186" w:right="359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3984" w:hRule="atLeast"/>
        </w:trPr>
        <w:tc>
          <w:tcPr>
            <w:tcW w:w="10780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329" w:right="33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佛说咒齿经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南无佛。南无法。南无比丘僧。南无舍利弗大目干连比丘。南无觉意。名闻边北方健陀摩呵衍山。彼有虫王名差吼无。在某牙齿中止。今当遣使者无敢食某牙。及牙根中牙根中牙边虫。不即下器中头破作七分如鸠罗勤蟮。梵天劝是咒南无佛。令我所咒皆从如愿。</w:t>
            </w:r>
          </w:p>
          <w:p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24" w:lineRule="auto"/>
              <w:ind w:left="751" w:right="4000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上一部：乾隆大藏经·大乘单译经·佛说咒时气病经一卷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下一部：乾隆大藏经·大乘单译经·佛说咒目经一卷</w:t>
              </w:r>
            </w:hyperlink>
          </w:p>
        </w:tc>
      </w:tr>
      <w:tr>
        <w:trPr>
          <w:trHeight w:val="428" w:hRule="atLeast"/>
        </w:trPr>
        <w:tc>
          <w:tcPr>
            <w:tcW w:w="10780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329" w:right="3311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乾隆大藏经·大乘单译经·佛说咒齿经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258.858307pt;width:3.25pt;height:3.25pt;mso-position-horizontal-relative:page;mso-position-vertical-relative:page;z-index:-251732992" coordorigin="1253,5177" coordsize="65,65" path="m1285,5241l1271,5239,1261,5233,1255,5223,1253,5209,1255,5195,1261,5185,1271,5179,1285,5177,1299,5179,1309,5185,1315,5195,1317,5209,1315,5223,1309,5233,1299,5239,1285,52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279.681702pt;width:3.25pt;height:3.25pt;mso-position-horizontal-relative:page;mso-position-vertical-relative:page;z-index:-251731968" coordorigin="1253,5594" coordsize="65,65" path="m1285,5658l1271,5656,1261,5650,1255,5640,1253,5626,1255,5612,1261,5602,1271,5596,1285,5594,1299,5596,1309,5602,1315,5612,1317,5626,1315,5640,1309,5650,1299,5656,1285,5658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1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9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6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45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2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298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574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851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7.htm" TargetMode="External"/><Relationship Id="rId6" Type="http://schemas.openxmlformats.org/officeDocument/2006/relationships/hyperlink" Target="http://qldzj.com/htmljw/047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2019-12-13T12:42:12Z</dcterms:created>
  <dcterms:modified xsi:type="dcterms:W3CDTF">2019-12-13T12:42:12Z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