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704"/>
        <w:gridCol w:w="345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大乘单译经·第0486部</w:t>
            </w:r>
          </w:p>
        </w:tc>
        <w:tc>
          <w:tcPr>
            <w:tcW w:w="370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580"/>
              <w:rPr>
                <w:sz w:val="24"/>
              </w:rPr>
            </w:pPr>
            <w:r>
              <w:rPr>
                <w:color w:val="EDFFFF"/>
                <w:sz w:val="24"/>
              </w:rPr>
              <w:t>拔济苦难陀罗尼经一卷</w:t>
            </w:r>
          </w:p>
        </w:tc>
        <w:tc>
          <w:tcPr>
            <w:tcW w:w="345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37"/>
              <w:rPr>
                <w:sz w:val="24"/>
              </w:rPr>
            </w:pPr>
            <w:r>
              <w:rPr>
                <w:color w:val="DDDDDD"/>
                <w:sz w:val="24"/>
              </w:rPr>
              <w:t>唐三藏法师玄奘奉诏译</w:t>
            </w:r>
          </w:p>
        </w:tc>
      </w:tr>
      <w:tr>
        <w:trPr>
          <w:trHeight w:val="1421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13" w:lineRule="auto"/>
              <w:ind w:left="543" w:right="290"/>
              <w:rPr>
                <w:sz w:val="24"/>
              </w:rPr>
            </w:pPr>
            <w:r>
              <w:rPr>
                <w:color w:val="FF3300"/>
                <w:sz w:val="24"/>
              </w:rPr>
              <w:t>拔济苦难陀罗尼经(一名胜福往生净土经)</w:t>
            </w:r>
          </w:p>
        </w:tc>
        <w:tc>
          <w:tcPr>
            <w:tcW w:w="370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45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88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619" w:hRule="atLeast"/>
        </w:trPr>
        <w:tc>
          <w:tcPr>
            <w:tcW w:w="1078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05" w:right="3194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拔济苦难陀罗尼经(一名胜福往生净土经)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如是我闻。一时薄伽梵在室罗筏。住誓多林给孤独园。与无央数声闻菩萨摩诃萨俱。及诸天人阿素洛等。无量大众前后围绕。</w:t>
            </w:r>
          </w:p>
          <w:p>
            <w:pPr>
              <w:pStyle w:val="TableParagraph"/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尔时众中有一菩萨。名不可说功德庄严。从座而起顶礼佛足。合掌恭敬白佛言。世尊今此世界无量有情。烦恼因缘造诸恶业。当堕地狱饿鬼傍生。或天人中受诸剧苦。唯愿哀愍方便拔济。</w:t>
            </w:r>
          </w:p>
          <w:p>
            <w:pPr>
              <w:pStyle w:val="TableParagraph"/>
              <w:spacing w:line="362" w:lineRule="auto" w:before="160"/>
              <w:ind w:right="339" w:firstLine="480"/>
              <w:rPr>
                <w:sz w:val="24"/>
              </w:rPr>
            </w:pPr>
            <w:r>
              <w:rPr>
                <w:sz w:val="24"/>
              </w:rPr>
              <w:t>佛言善男子善哉善哉。汝能哀愍一切有情作如是请。谛听谛听。吾今为汝略说拔济众苦方 便。善男子有佛世尊。名为不动如来应正等觉。为欲利乐诸有情故。说陀罗尼令众诵念。陀罗尼曰。</w:t>
            </w:r>
          </w:p>
          <w:p>
            <w:pPr>
              <w:pStyle w:val="TableParagraph"/>
              <w:tabs>
                <w:tab w:pos="1048" w:val="left" w:leader="none"/>
                <w:tab w:pos="2489" w:val="left" w:leader="none"/>
                <w:tab w:pos="3691" w:val="left" w:leader="none"/>
                <w:tab w:pos="4171" w:val="left" w:leader="none"/>
                <w:tab w:pos="6334" w:val="left" w:leader="none"/>
                <w:tab w:pos="8496" w:val="left" w:leader="none"/>
              </w:tabs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羯羯尼羯羯尼</w:t>
              <w:tab/>
              <w:t>鲁折尼鲁折尼</w:t>
              <w:tab/>
              <w:t>咄卢磔尼咄卢磔尼</w:t>
              <w:tab/>
              <w:t>怛逻萨尼怛罗萨尼</w:t>
              <w:tab/>
              <w:t>般刺底喝那般刺</w:t>
            </w:r>
            <w:r>
              <w:rPr>
                <w:spacing w:val="-15"/>
                <w:sz w:val="24"/>
              </w:rPr>
              <w:t>底</w:t>
            </w:r>
            <w:r>
              <w:rPr>
                <w:sz w:val="24"/>
              </w:rPr>
              <w:t>喝那</w:t>
              <w:tab/>
              <w:t>萨缚羯莫般蓝般逻般谜</w:t>
              <w:tab/>
              <w:t>莎诃。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若有善男子善女人。至诚敬礼不动如来应正等觉受持此咒。先所造作五无间业四重十恶。毁诸圣贤谤正法罪皆悉除灭。临命终时。彼不动佛与诸菩萨来现其前。赞叹慰喻令其欢喜。复告之言。今来迎汝应随我往所从佛国。彼命终已。决定往生不动如来清净佛土。善男子复有世尊。名灭恶趣王如来应正等觉。为欲利乐诸有情故。说陀罗尼令众诵念。陀罗尼曰。</w:t>
            </w:r>
          </w:p>
          <w:p>
            <w:pPr>
              <w:pStyle w:val="TableParagraph"/>
              <w:spacing w:before="161"/>
              <w:ind w:left="808"/>
              <w:jc w:val="both"/>
              <w:rPr>
                <w:sz w:val="24"/>
              </w:rPr>
            </w:pPr>
            <w:r>
              <w:rPr>
                <w:sz w:val="24"/>
              </w:rPr>
              <w:t>输达泥输达泥 萨缚播波毗输达泥 戍睇毗戍睇 萨缚羯莫毗戍睇 莎诃。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若有善男子善女人。至诚礼敬灭恶趣王如来应正等觉受持此咒。万四千劫常忆宿命。所在生处得丈夫身。具足诸根深信因果。善诸技术妙解诸论。好行惠施厌舍诸欲。不造恶业离诸危怖。具正命慧众所爱重。常近善友恒闻正法。求菩提心曾无暂舍。以诸功德而自庄严。具善律仪怖诸恶业。恒无匮乏调柔乐静。于天人中常受快乐。速证无上正等菩提。终不退于十到彼岸。常愿利乐一切有情。诸所修行非专自利。在所生处常得见佛。护持正法预贤圣众。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时薄伽梵说此经已。声闻菩萨及诸天人阿素洛等。闻佛所说。皆大欢喜。信受奉行。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324" w:lineRule="auto"/>
              <w:ind w:left="751" w:right="3759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上一部：乾隆大藏经·大乘单译经·诸佛心陀罗尼经一卷</w:t>
              </w:r>
            </w:hyperlink>
            <w:hyperlink r:id="rId6">
              <w:r>
                <w:rPr>
                  <w:color w:val="878787"/>
                  <w:sz w:val="24"/>
                </w:rPr>
                <w:t> 下一部：乾隆大藏经·大乘单译经·八名普密陀罗尼经一卷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723.38031pt;width:3.25pt;height:3.25pt;mso-position-horizontal-relative:page;mso-position-vertical-relative:page;z-index:-251747328" coordorigin="1253,14468" coordsize="65,65" path="m1285,14532l1271,14530,1261,14524,1255,14514,1253,14500,1255,14486,1261,14476,1271,14470,1285,14468,1299,14470,1309,14476,1315,14486,1317,14500,1315,14514,1309,14524,1299,14530,1285,145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744.203674pt;width:3.25pt;height:3.25pt;mso-position-horizontal-relative:page;mso-position-vertical-relative:page;z-index:-251746304" coordorigin="1253,14884" coordsize="65,65" path="m1285,14948l1271,14946,1261,14940,1255,14930,1253,14916,1255,14902,1261,14892,1271,14886,1285,14884,1299,14886,1309,14892,1315,14902,1317,14916,1315,14930,1309,14940,1299,14946,1285,14948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00" w:bottom="280" w:left="580" w:right="640"/>
        </w:sectPr>
      </w:pPr>
    </w:p>
    <w:p>
      <w:pPr>
        <w:tabs>
          <w:tab w:pos="10892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48.653332pt;width:539.050pt;height:22.45pt;mso-position-horizontal-relative:page;mso-position-vertical-relative:page;z-index:251662336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DDDDDD"/>
                    </w:rPr>
                    <w:t>乾隆大藏经·大乘单译经·拔济苦难陀罗尼经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rFonts w:ascii="Times New Roman"/>
          <w:sz w:val="20"/>
        </w:rPr>
        <w:pict>
          <v:group style="width:.85pt;height:19.3pt;mso-position-horizontal-relative:char;mso-position-vertical-relative:line" coordorigin="0,0" coordsize="17,386">
            <v:line style="position:absolute" from="8,0" to="8,385" stroked="true" strokeweight=".80090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.85pt;height:19.3pt;mso-position-horizontal-relative:char;mso-position-vertical-relative:line" coordorigin="0,0" coordsize="17,386">
            <v:line style="position:absolute" from="8,0" to="8,385" stroked="true" strokeweight=".80090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5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5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6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7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7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8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91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64"/>
      <w:ind w:left="2963" w:right="2961"/>
      <w:jc w:val="center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85.htm" TargetMode="External"/><Relationship Id="rId6" Type="http://schemas.openxmlformats.org/officeDocument/2006/relationships/hyperlink" Target="http://qldzj.com/htmljw/0487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2019-12-13T12:41:42Z</dcterms:created>
  <dcterms:modified xsi:type="dcterms:W3CDTF">2019-12-13T12:41:42Z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