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58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0535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佛说救面然饿鬼陀罗尼神咒经一卷</w:t>
              <w:tab/>
            </w:r>
            <w:r>
              <w:rPr>
                <w:color w:val="DDDDDD"/>
                <w:sz w:val="24"/>
              </w:rPr>
              <w:t>唐于阗三藏实叉难陀译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佛说救面然饿鬼陀罗尼神咒经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9" w:right="37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佛说救面然饿鬼陀罗尼神咒经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尔时，世尊在迦毗罗城尼俱律那僧伽蓝所，与诸比丘并诸菩萨无数众生，周匝围绕而为说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法。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尔时，阿难独居静处一心系念，即于其夜三更之后，见一饿鬼名曰面然，住阿难前，白阿难言：“却后三日汝命将尽，即便生此饿鬼之中。”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是时，阿难闻此语已，心生惶怖问饿鬼言：“我此灾祸，作何方计得免斯苦？”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尔时，饿鬼报阿难言：“汝于晨朝，若能布施百千那由他恒河沙数饿鬼，并百千婆罗门及仙人等，以摩伽陀国斛，各施一斗饮食，并及为我供养三宝，汝得增寿，令我离于饿鬼之苦得生天上。”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阿难见此面然饿鬼，身形羸瘦，枯燋极丑，面上火然，其咽如针，头发蓬乱，毛爪长利，身如负重。又闻如是不顺之语，甚大惊怖，身毛皆竖，即从座起疾至佛所，五体投地，顶礼佛足， 身心颤栗而白佛言：“救我世尊！救我善逝！过此三日命将终尽。昨夜见一面然饿鬼，而语我 言：汝于三日，必当命尽生饿鬼中。我即问言：以何方计得免斯苦？饿鬼答言：汝若施于百千那由他恒河沙数饿鬼，及百千婆罗门并诸仙等饮食，汝得增寿。世尊，我今云何得免此苦？”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尔时，世尊告阿难言：“汝今勿怖，有异方便，令汝得施如是饿鬼、诸婆罗门及仙等食。勿生忧恼！”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佛告阿难：“有陀罗尼，名曰一切德光无量威力。若有诵此陀罗尼者，即成已施俱胝那由他百千恒河沙数饿鬼，及六十八俱胝那由他百千婆罗门并诸仙等前，各有摩伽陀斛四斛九斗饮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食。”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阿难：“我于前世曾为婆罗门时，于观世音菩萨及世间自在德力如来所受此陀罗尼。我当以此陀罗尼力，便得具足施于无量无数饿鬼及婆罗门并仙等食。以我施诸饿鬼食故，舍离此身得生天上。阿难，汝今受持此陀罗尼当自护身。”即说咒曰：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2" w:lineRule="auto" w:before="189"/>
              <w:ind w:right="259" w:firstLine="480"/>
              <w:jc w:val="both"/>
              <w:rPr>
                <w:sz w:val="24"/>
              </w:rPr>
            </w:pPr>
            <w:r>
              <w:rPr>
                <w:sz w:val="24"/>
              </w:rPr>
              <w:t>“那么萨缚(无可切下同)怛他揭多(去声)缚路枳帝(一) 唵三(上声下同)跋(鞞揭切下同)啰三跋啰(二) 虎[合+牛](二合三) ”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firstLine="480"/>
        <w:jc w:val="both"/>
      </w:pPr>
      <w:r>
        <w:rPr/>
        <w:pict>
          <v:group style="position:absolute;margin-left:34.6063pt;margin-top:28.999924pt;width:539.85pt;height:485.4pt;mso-position-horizontal-relative:page;mso-position-vertical-relative:page;z-index:-251731968" coordorigin="692,580" coordsize="10797,9708">
            <v:line style="position:absolute" from="11480,580" to="11480,9823" stroked="true" strokeweight=".80090pt" strokecolor="#000000">
              <v:stroke dashstyle="solid"/>
            </v:line>
            <v:line style="position:absolute" from="700,580" to="700,9823" stroked="true" strokeweight=".80090pt" strokecolor="#000000">
              <v:stroke dashstyle="solid"/>
            </v:line>
            <v:rect style="position:absolute;left:692;top:9823;width:10797;height:465" filled="true" fillcolor="#ff9933" stroked="false">
              <v:fill type="solid"/>
            </v:rect>
            <v:rect style="position:absolute;left:700;top:9831;width:10781;height:449" filled="false" stroked="true" strokeweight=".80090pt" strokecolor="#000000">
              <v:stroke dashstyle="solid"/>
            </v:rect>
            <v:shape style="position:absolute;left:1252;top:8637;width:65;height:481" coordorigin="1253,8638" coordsize="65,481" path="m1317,9086l1315,9072,1309,9062,1299,9056,1285,9054,1271,9056,1261,9062,1255,9072,1253,9086,1255,9100,1261,9110,1271,9116,1285,9118,1299,9116,1309,9110,1315,9100,1317,9086m1317,8670l1315,8656,1309,8646,1299,8640,1285,8638,1271,8640,1261,8646,1255,8656,1253,8670,1255,8684,1261,8694,1271,8700,1285,8702,1299,8700,1309,8694,1315,8684,1317,867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佛言：“阿难，若欲作此施食法者，先取饮食安置净盘器中，诵此陀罗尼咒咒食七遍，于门内立，展臂户外，置盘净地弹指七下。作此施已，于其四方，有百千俱胝那由他恒河沙数饿鬼， 于一一饿鬼前，各有摩伽陀斛四斛九斗饮食，如是鬼等遍皆饱满。是诸饿鬼吃此食已，悉舍鬼身尽得生天。”</w:t>
      </w:r>
    </w:p>
    <w:p>
      <w:pPr>
        <w:pStyle w:val="BodyText"/>
        <w:spacing w:line="362" w:lineRule="auto"/>
        <w:ind w:firstLine="480"/>
        <w:jc w:val="both"/>
      </w:pPr>
      <w:r>
        <w:rPr/>
        <w:t>复言：“阿难，若比丘、比丘尼、优婆塞、优婆夷，若能常诵此陀罗尼并奉饮食，即为具足无量功德命得延长，即成供养百千俱胝如来功德，颜色鲜洁威德强记，一切非人步多鬼等，夜叉罗刹并诸饿鬼，皆畏是人心不忍见，是人即为成就具足大力勤进。”</w:t>
      </w:r>
    </w:p>
    <w:p>
      <w:pPr>
        <w:pStyle w:val="BodyText"/>
        <w:spacing w:line="362" w:lineRule="auto"/>
        <w:ind w:firstLine="480"/>
      </w:pPr>
      <w:r>
        <w:rPr/>
        <w:t>复言：“阿难，若欲施婆罗门及仙食者，当取饮食满置钵中，诵此陀罗尼咒咒食七遍，泻流水中，具足奉献无量俱胝百千恒河沙数婆罗门及诸仙等，如天饮食。其婆罗门并仙人等，吃此食已诸根具足圆满吉祥，各发其愿赞叹施人。其施食人心得清净，而便疾证梵天威德，常修净行， 具足成就供养百千俱胝恒河沙数如来功德，于诸怨敌而常得胜。若比丘、比丘尼、优婆塞、优婆夷，若欲供养一切三宝，应当具办香华饮食诵此陀罗尼咒，咒所施食及香华等二十一遍供养三 宝。此善男子、善女人等，具足成就诸天妙供及无上供，尊重赞叹一切如来刹土三宝。诸佛忆念称扬赞叹，诸天拥护。”</w:t>
      </w:r>
    </w:p>
    <w:p>
      <w:pPr>
        <w:pStyle w:val="BodyText"/>
        <w:spacing w:line="362" w:lineRule="auto"/>
        <w:ind w:firstLine="480"/>
      </w:pPr>
      <w:r>
        <w:rPr/>
        <w:t>佛言：“汝去，阿难，当自护身并及广为诸众生说，令诸众生成就具足无量功德，所生之世常值百千俱胝诸佛。”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2936"/>
      </w:pPr>
      <w:hyperlink r:id="rId5">
        <w:r>
          <w:rPr>
            <w:color w:val="878787"/>
          </w:rPr>
          <w:t>上一部：乾隆大藏经·大乘单译经·观自在如意轮菩萨瑜伽法要一卷</w:t>
        </w:r>
      </w:hyperlink>
      <w:hyperlink r:id="rId6">
        <w:r>
          <w:rPr>
            <w:color w:val="878787"/>
          </w:rPr>
          <w:t>下一部：乾隆大藏经·大乘单译经·佛说甘露经陀罗尼一卷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2491" w:right="2488"/>
        <w:jc w:val="center"/>
      </w:pPr>
      <w:r>
        <w:rPr>
          <w:color w:val="DDDDDD"/>
        </w:rPr>
        <w:t>乾隆大藏经·大乘单译经·佛说救面然饿鬼陀罗尼神咒经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34.htm" TargetMode="External"/><Relationship Id="rId6" Type="http://schemas.openxmlformats.org/officeDocument/2006/relationships/hyperlink" Target="http://qldzj.com/htmljw/053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2019-12-13T12:58:50Z</dcterms:created>
  <dcterms:modified xsi:type="dcterms:W3CDTF">2019-12-13T12:58:50Z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