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1167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观所缘缘论一卷</w:t>
              <w:tab/>
            </w:r>
            <w:r>
              <w:rPr>
                <w:color w:val="DDDDDD"/>
                <w:sz w:val="24"/>
              </w:rPr>
              <w:t>陈那菩萨造唐三藏法师玄</w:t>
            </w:r>
            <w:r>
              <w:rPr>
                <w:color w:val="DDDDDD"/>
                <w:spacing w:val="-14"/>
                <w:sz w:val="24"/>
              </w:rPr>
              <w:t>奘</w:t>
            </w:r>
            <w:r>
              <w:rPr>
                <w:color w:val="DDDDDD"/>
                <w:sz w:val="24"/>
              </w:rPr>
              <w:t>奉诏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观所缘缘论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观所缘缘论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right="339" w:firstLine="480"/>
              <w:rPr>
                <w:sz w:val="24"/>
              </w:rPr>
            </w:pPr>
            <w:r>
              <w:rPr>
                <w:sz w:val="24"/>
              </w:rPr>
              <w:t>诸有欲令眼等五识。以外色作所缘缘者。或执极微许有实体。能生识故或执和合。以识生时带彼相故。二俱非理。所以者何。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left="808" w:right="7066"/>
              <w:rPr>
                <w:sz w:val="24"/>
              </w:rPr>
            </w:pPr>
            <w:r>
              <w:rPr>
                <w:sz w:val="24"/>
              </w:rPr>
              <w:t>极微于五识</w:t>
              <w:tab/>
              <w:t>设缘非所</w:t>
            </w:r>
            <w:r>
              <w:rPr>
                <w:spacing w:val="-15"/>
                <w:sz w:val="24"/>
              </w:rPr>
              <w:t>缘</w:t>
            </w:r>
            <w:r>
              <w:rPr>
                <w:sz w:val="24"/>
              </w:rPr>
              <w:t>彼相识无故</w:t>
              <w:tab/>
              <w:t>犹如眼根</w:t>
            </w:r>
            <w:r>
              <w:rPr>
                <w:spacing w:val="-15"/>
                <w:sz w:val="24"/>
              </w:rPr>
              <w:t>等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所缘缘者。谓能缘识带彼相起及有实体。令能缘识托彼而生色等极微。设有实体能生五识容有缘义。然非所缘。如眼根等于眼等识无彼相故。如是极微于眼等识。无所缘义。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left="808" w:right="7066"/>
              <w:rPr>
                <w:sz w:val="24"/>
              </w:rPr>
            </w:pPr>
            <w:r>
              <w:rPr>
                <w:sz w:val="24"/>
              </w:rPr>
              <w:t>和合于五识</w:t>
              <w:tab/>
              <w:t>设所缘非</w:t>
            </w:r>
            <w:r>
              <w:rPr>
                <w:spacing w:val="-15"/>
                <w:sz w:val="24"/>
              </w:rPr>
              <w:t>缘</w:t>
            </w:r>
            <w:r>
              <w:rPr>
                <w:sz w:val="24"/>
              </w:rPr>
              <w:t>彼体实无故</w:t>
              <w:tab/>
              <w:t>犹如第二</w:t>
            </w:r>
            <w:r>
              <w:rPr>
                <w:spacing w:val="-15"/>
                <w:sz w:val="24"/>
              </w:rPr>
              <w:t>月</w:t>
            </w:r>
          </w:p>
          <w:p>
            <w:pPr>
              <w:pStyle w:val="TableParagraph"/>
              <w:spacing w:line="362" w:lineRule="auto" w:before="160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色等和合于眼识等有彼相故。设作所缘然无缘义。如眼错乱见第二月。彼无实体不能生故。如是和合于眼等识无有缘义故。外二事于所缘缘互阙一支。俱不应理。有执色等各有多相。于中一分是现量境故。诸极微相资各有一和集相。此相实有各能发生。似己相识故与五识作所缘缘。此亦非理。所以者何。</w:t>
            </w:r>
          </w:p>
          <w:p>
            <w:pPr>
              <w:pStyle w:val="TableParagraph"/>
              <w:spacing w:line="362" w:lineRule="auto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和集如坚等   设于眼等识是缘非所缘 许极微相故</w:t>
            </w:r>
          </w:p>
          <w:p>
            <w:pPr>
              <w:pStyle w:val="TableParagraph"/>
              <w:spacing w:line="362" w:lineRule="auto" w:before="177"/>
              <w:ind w:right="579" w:firstLine="480"/>
              <w:rPr>
                <w:sz w:val="24"/>
              </w:rPr>
            </w:pPr>
            <w:r>
              <w:rPr>
                <w:sz w:val="24"/>
              </w:rPr>
              <w:t>如坚等相虽是实有。于眼等识容有缘义。而非所缘。眼等识上无彼相故。色等极微诸和集相。理亦应尔。彼俱执为极微相故。执眼等识能缘极微。诸和集相复有别失。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left="808" w:right="7066"/>
              <w:rPr>
                <w:sz w:val="24"/>
              </w:rPr>
            </w:pPr>
            <w:r>
              <w:rPr>
                <w:sz w:val="24"/>
              </w:rPr>
              <w:t>瓶瓯等觉相</w:t>
              <w:tab/>
              <w:t>彼执应无</w:t>
            </w:r>
            <w:r>
              <w:rPr>
                <w:spacing w:val="-15"/>
                <w:sz w:val="24"/>
              </w:rPr>
              <w:t>别</w:t>
            </w:r>
            <w:r>
              <w:rPr>
                <w:sz w:val="24"/>
              </w:rPr>
              <w:t>非形别故别</w:t>
              <w:tab/>
              <w:t>形别非实</w:t>
            </w:r>
            <w:r>
              <w:rPr>
                <w:spacing w:val="-15"/>
                <w:sz w:val="24"/>
              </w:rPr>
              <w:t>故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瓶瓯等物大小等者。能成极微多少同故。缘彼觉相应无差别。若谓彼物形相别故觉相别者。理亦不然。顶等别形唯在瓶等假法上有。非极微故彼不应执。极微亦有差别形相所以者何。</w:t>
            </w:r>
          </w:p>
          <w:p>
            <w:pPr>
              <w:pStyle w:val="TableParagraph"/>
              <w:tabs>
                <w:tab w:pos="2489" w:val="left" w:leader="none"/>
              </w:tabs>
              <w:spacing w:line="362" w:lineRule="auto"/>
              <w:ind w:left="808" w:right="7066"/>
              <w:rPr>
                <w:sz w:val="24"/>
              </w:rPr>
            </w:pPr>
            <w:r>
              <w:rPr>
                <w:sz w:val="24"/>
              </w:rPr>
              <w:t>极微量等故</w:t>
              <w:tab/>
              <w:t>形别惟在</w:t>
            </w:r>
            <w:r>
              <w:rPr>
                <w:spacing w:val="-15"/>
                <w:sz w:val="24"/>
              </w:rPr>
              <w:t>假</w:t>
            </w:r>
            <w:r>
              <w:rPr>
                <w:sz w:val="24"/>
              </w:rPr>
              <w:t>析彼至极微</w:t>
              <w:tab/>
              <w:t>彼觉定舍</w:t>
            </w:r>
            <w:r>
              <w:rPr>
                <w:spacing w:val="-15"/>
                <w:sz w:val="24"/>
              </w:rPr>
              <w:t>故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firstLine="480"/>
        <w:jc w:val="both"/>
      </w:pPr>
      <w:r>
        <w:rPr/>
        <w:pict>
          <v:group style="position:absolute;margin-left:34.6063pt;margin-top:28.999924pt;width:539.85pt;height:579.9pt;mso-position-horizontal-relative:page;mso-position-vertical-relative:page;z-index:-251732992" coordorigin="692,580" coordsize="10797,11598">
            <v:line style="position:absolute" from="11480,580" to="11480,11713" stroked="true" strokeweight=".80090pt" strokecolor="#000000">
              <v:stroke dashstyle="solid"/>
            </v:line>
            <v:line style="position:absolute" from="700,580" to="700,11713" stroked="true" strokeweight=".80090pt" strokecolor="#000000">
              <v:stroke dashstyle="solid"/>
            </v:line>
            <v:rect style="position:absolute;left:692;top:11713;width:10797;height:465" filled="true" fillcolor="#ff9933" stroked="false">
              <v:fill type="solid"/>
            </v:rect>
            <v:rect style="position:absolute;left:700;top:11721;width:10781;height:449" filled="false" stroked="true" strokeweight=".80090pt" strokecolor="#000000">
              <v:stroke dashstyle="solid"/>
            </v:rect>
            <v:shape style="position:absolute;left:1252;top:10527;width:65;height:481" coordorigin="1253,10528" coordsize="65,481" path="m1317,10976l1315,10962,1309,10952,1299,10946,1285,10944,1271,10946,1261,10952,1255,10962,1253,10976,1255,10990,1261,11000,1271,11006,1285,11008,1299,11006,1309,11000,1315,10990,1317,10976m1317,10560l1315,10546,1309,10536,1299,10530,1285,10528,1271,10530,1261,10536,1255,10546,1253,10560,1255,10574,1261,10584,1271,10590,1285,10592,1299,10590,1309,10584,1315,10574,1317,1056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非瓶瓯等能成极微有形量别。舍微圆相故。知别形在假非实。又形别物析至极微。彼觉定舍非青等物。析至极微彼觉可舍。由此形别唯世俗有。非如青等亦在实物。是故五识所缘缘体非外色等其理极成。彼所缘缘岂全不有。非全不有。若尔云何。</w:t>
      </w:r>
    </w:p>
    <w:p>
      <w:pPr>
        <w:pStyle w:val="BodyText"/>
        <w:spacing w:line="362" w:lineRule="auto" w:before="160"/>
        <w:ind w:left="930" w:right="7204"/>
        <w:jc w:val="both"/>
      </w:pPr>
      <w:r>
        <w:rPr/>
        <w:t>内色如外现   为识所缘缘许彼相在识 及能生识故</w:t>
      </w:r>
    </w:p>
    <w:p>
      <w:pPr>
        <w:pStyle w:val="BodyText"/>
        <w:spacing w:line="362" w:lineRule="auto"/>
        <w:ind w:firstLine="480"/>
      </w:pPr>
      <w:r>
        <w:rPr/>
        <w:t>外境虽无。而有内色似外境现。为所缘缘。许眼等识带彼相起及从彼生。具二义故。此内境相既不离识。如何俱起。能作识缘。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决定相随故</w:t>
        <w:tab/>
        <w:t>俱时亦作</w:t>
      </w:r>
      <w:r>
        <w:rPr>
          <w:spacing w:val="-16"/>
        </w:rPr>
        <w:t>缘</w:t>
      </w:r>
      <w:r>
        <w:rPr/>
        <w:t>或前为后缘</w:t>
        <w:tab/>
        <w:t>引彼功能</w:t>
      </w:r>
      <w:r>
        <w:rPr>
          <w:spacing w:val="-16"/>
        </w:rPr>
        <w:t>故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境相与识定相随故。虽俱时起亦作识缘。因明者说。若此与彼有无相随。虽俱时生而亦得有因果相故。或前识相为后识缘。引本识中生似自果功能令起不违理故。若五识生唯缘内色。如何亦说眼等为缘。</w:t>
      </w:r>
    </w:p>
    <w:p>
      <w:pPr>
        <w:pStyle w:val="BodyText"/>
        <w:spacing w:line="362" w:lineRule="auto"/>
        <w:ind w:left="930" w:right="7204"/>
        <w:jc w:val="both"/>
      </w:pPr>
      <w:r>
        <w:rPr/>
        <w:t>识上色功能   名五根应理功能与境色 无始互为因</w:t>
      </w:r>
    </w:p>
    <w:p>
      <w:pPr>
        <w:pStyle w:val="BodyText"/>
        <w:spacing w:line="362" w:lineRule="auto"/>
        <w:ind w:firstLine="480"/>
      </w:pPr>
      <w:r>
        <w:rPr/>
        <w:t>以能发识比知有根。此但功能非外所造故。本识上五色功能名眼等根。亦不违理。功能发识理无别故。在识在余虽不可说。而外诸法理非有故。定应许此在识非余。此根功能与前境色。从无始际展转为因。谓此功能至成熟位。生现识上五内境色。此内境色复能引起异熟识上五根功 能。根境二色与识一异或非一异。随乐应说。如是诸识。惟内境相为所缘缘。理善成立。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4858"/>
      </w:pPr>
      <w:hyperlink r:id="rId5">
        <w:r>
          <w:rPr>
            <w:color w:val="878787"/>
          </w:rPr>
          <w:t>上一部：乾隆大藏经·大乘论·无相思尘论一卷</w:t>
        </w:r>
      </w:hyperlink>
      <w:hyperlink r:id="rId6">
        <w:r>
          <w:rPr>
            <w:color w:val="878787"/>
          </w:rPr>
          <w:t> 下一部：乾隆大藏经·大乘论·</w:t>
        </w:r>
        <w:r>
          <w:rPr>
            <w:color w:val="878787"/>
            <w:spacing w:val="-2"/>
          </w:rPr>
          <w:t>观所缘缘论释一卷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0"/>
        <w:ind w:left="3691" w:right="3688"/>
        <w:jc w:val="center"/>
      </w:pPr>
      <w:r>
        <w:rPr>
          <w:color w:val="DDDDDD"/>
        </w:rPr>
        <w:t>乾隆大藏经·大乘论·观所缘缘论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61"/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66.htm" TargetMode="External"/><Relationship Id="rId6" Type="http://schemas.openxmlformats.org/officeDocument/2006/relationships/hyperlink" Target="http://qldzj.com/htmljw/116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2019-12-18T12:21:27Z</dcterms:created>
  <dcterms:modified xsi:type="dcterms:W3CDTF">2019-12-18T12:21:27Z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