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780"/>
      </w:tblGrid>
      <w:tr>
        <w:trPr>
          <w:trHeight w:val="748" w:hRule="atLeast"/>
        </w:trPr>
        <w:tc>
          <w:tcPr>
            <w:tcW w:w="10780" w:type="dxa"/>
            <w:shd w:val="clear" w:color="auto" w:fill="FF9933"/>
          </w:tcPr>
          <w:p>
            <w:pPr>
              <w:pStyle w:val="TableParagraph"/>
              <w:tabs>
                <w:tab w:pos="4548" w:val="left" w:leader="none"/>
                <w:tab w:pos="7567" w:val="left" w:leader="none"/>
              </w:tabs>
              <w:spacing w:line="213" w:lineRule="auto" w:before="113"/>
              <w:ind w:left="9730" w:right="307" w:hanging="9403"/>
              <w:jc w:val="right"/>
              <w:rPr>
                <w:sz w:val="24"/>
              </w:rPr>
            </w:pPr>
            <w:r>
              <w:rPr>
                <w:color w:val="DDDDDD"/>
                <w:sz w:val="24"/>
              </w:rPr>
              <w:t>大乘论·第</w:t>
            </w:r>
            <w:r>
              <w:rPr>
                <w:color w:val="DDDDDD"/>
                <w:spacing w:val="8"/>
                <w:sz w:val="24"/>
              </w:rPr>
              <w:t>1170</w:t>
            </w:r>
            <w:r>
              <w:rPr>
                <w:color w:val="DDDDDD"/>
                <w:sz w:val="24"/>
              </w:rPr>
              <w:t>部</w:t>
              <w:tab/>
            </w:r>
            <w:r>
              <w:rPr>
                <w:color w:val="EDFFFF"/>
                <w:sz w:val="24"/>
              </w:rPr>
              <w:t>大乘五蕴论一卷</w:t>
              <w:tab/>
            </w:r>
            <w:r>
              <w:rPr>
                <w:color w:val="DDDDDD"/>
                <w:sz w:val="24"/>
              </w:rPr>
              <w:t>世亲菩萨造唐三藏法师玄</w:t>
            </w:r>
            <w:r>
              <w:rPr>
                <w:color w:val="DDDDDD"/>
                <w:spacing w:val="-14"/>
                <w:sz w:val="24"/>
              </w:rPr>
              <w:t>奘</w:t>
            </w:r>
            <w:r>
              <w:rPr>
                <w:color w:val="DDDDDD"/>
                <w:sz w:val="24"/>
              </w:rPr>
              <w:t>奉诏</w:t>
            </w:r>
            <w:r>
              <w:rPr>
                <w:color w:val="DDDDDD"/>
                <w:spacing w:val="-17"/>
                <w:sz w:val="24"/>
              </w:rPr>
              <w:t>译</w:t>
            </w:r>
          </w:p>
        </w:tc>
      </w:tr>
      <w:tr>
        <w:trPr>
          <w:trHeight w:val="1149" w:hRule="atLeast"/>
        </w:trPr>
        <w:tc>
          <w:tcPr>
            <w:tcW w:w="10780" w:type="dxa"/>
          </w:tcPr>
          <w:p>
            <w:pPr>
              <w:pStyle w:val="TableParagraph"/>
              <w:numPr>
                <w:ilvl w:val="0"/>
                <w:numId w:val="1"/>
              </w:numPr>
              <w:tabs>
                <w:tab w:pos="912" w:val="left" w:leader="none"/>
                <w:tab w:pos="3884" w:val="left" w:leader="none"/>
                <w:tab w:pos="9197" w:val="left" w:leader="none"/>
              </w:tabs>
              <w:spacing w:line="290" w:lineRule="exact" w:before="86" w:after="0"/>
              <w:ind w:left="911" w:right="0" w:hanging="369"/>
              <w:jc w:val="left"/>
              <w:rPr>
                <w:sz w:val="24"/>
              </w:rPr>
            </w:pPr>
            <w:r>
              <w:rPr>
                <w:color w:val="FF3300"/>
                <w:sz w:val="24"/>
              </w:rPr>
              <w:t>经名</w:t>
            </w:r>
            <w:r>
              <w:rPr>
                <w:color w:val="FF3300"/>
                <w:spacing w:val="8"/>
                <w:sz w:val="24"/>
              </w:rPr>
              <w:t> </w:t>
            </w:r>
            <w:r>
              <w:rPr>
                <w:color w:val="FF3300"/>
                <w:sz w:val="24"/>
              </w:rPr>
              <w:t>·</w:t>
            </w:r>
            <w:r>
              <w:rPr>
                <w:color w:val="FF3300"/>
                <w:spacing w:val="8"/>
                <w:sz w:val="24"/>
              </w:rPr>
              <w:t> </w:t>
            </w:r>
            <w:r>
              <w:rPr>
                <w:color w:val="FF3300"/>
                <w:sz w:val="24"/>
              </w:rPr>
              <w:t>卷数</w:t>
            </w:r>
            <w:r>
              <w:rPr>
                <w:color w:val="FF3300"/>
                <w:spacing w:val="8"/>
                <w:sz w:val="24"/>
              </w:rPr>
              <w:t> </w:t>
            </w:r>
            <w:r>
              <w:rPr>
                <w:color w:val="FF3300"/>
                <w:sz w:val="24"/>
              </w:rPr>
              <w:t>·</w:t>
            </w:r>
            <w:r>
              <w:rPr>
                <w:color w:val="FF3300"/>
                <w:spacing w:val="8"/>
                <w:sz w:val="24"/>
              </w:rPr>
              <w:t> </w:t>
            </w:r>
            <w:r>
              <w:rPr>
                <w:color w:val="FF3300"/>
                <w:sz w:val="24"/>
              </w:rPr>
              <w:t>跋序</w:t>
              <w:tab/>
            </w:r>
            <w:r>
              <w:rPr>
                <w:color w:val="993300"/>
                <w:sz w:val="24"/>
              </w:rPr>
              <w:t>·</w:t>
            </w:r>
            <w:r>
              <w:rPr>
                <w:color w:val="993300"/>
                <w:spacing w:val="8"/>
                <w:sz w:val="24"/>
              </w:rPr>
              <w:t> </w:t>
            </w:r>
            <w:r>
              <w:rPr>
                <w:color w:val="993300"/>
                <w:sz w:val="24"/>
              </w:rPr>
              <w:t>品名</w:t>
            </w:r>
            <w:r>
              <w:rPr>
                <w:color w:val="993300"/>
                <w:spacing w:val="8"/>
                <w:sz w:val="24"/>
              </w:rPr>
              <w:t> </w:t>
            </w:r>
            <w:r>
              <w:rPr>
                <w:color w:val="993300"/>
                <w:sz w:val="24"/>
              </w:rPr>
              <w:t>·</w:t>
            </w:r>
            <w:r>
              <w:rPr>
                <w:color w:val="993300"/>
                <w:spacing w:val="8"/>
                <w:sz w:val="24"/>
              </w:rPr>
              <w:t> </w:t>
            </w:r>
            <w:r>
              <w:rPr>
                <w:color w:val="993300"/>
                <w:sz w:val="24"/>
              </w:rPr>
              <w:t>品数</w:t>
              <w:tab/>
            </w:r>
            <w:r>
              <w:rPr>
                <w:sz w:val="24"/>
              </w:rPr>
              <w:t>字体：</w:t>
            </w:r>
            <w:r>
              <w:rPr>
                <w:color w:val="FF3300"/>
                <w:sz w:val="24"/>
              </w:rPr>
              <w:t>大号</w:t>
            </w:r>
          </w:p>
          <w:p>
            <w:pPr>
              <w:pStyle w:val="TableParagraph"/>
              <w:numPr>
                <w:ilvl w:val="1"/>
                <w:numId w:val="1"/>
              </w:numPr>
              <w:tabs>
                <w:tab w:pos="4253" w:val="left" w:leader="none"/>
                <w:tab w:pos="9197" w:val="left" w:leader="none"/>
              </w:tabs>
              <w:spacing w:line="290" w:lineRule="exact" w:before="0" w:after="0"/>
              <w:ind w:left="4252" w:right="0" w:hanging="369"/>
              <w:jc w:val="left"/>
              <w:rPr>
                <w:sz w:val="24"/>
              </w:rPr>
            </w:pPr>
            <w:r>
              <w:rPr>
                <w:color w:val="993300"/>
                <w:sz w:val="24"/>
              </w:rPr>
              <w:t>译作者</w:t>
              <w:tab/>
            </w:r>
            <w:r>
              <w:rPr>
                <w:color w:val="FF3300"/>
                <w:sz w:val="24"/>
              </w:rPr>
              <w:t>中号</w:t>
            </w:r>
            <w:r>
              <w:rPr>
                <w:color w:val="FF3300"/>
                <w:spacing w:val="8"/>
                <w:sz w:val="24"/>
              </w:rPr>
              <w:t> </w:t>
            </w:r>
            <w:r>
              <w:rPr>
                <w:color w:val="FF3300"/>
                <w:sz w:val="24"/>
              </w:rPr>
              <w:t>小号</w:t>
            </w:r>
          </w:p>
          <w:p>
            <w:pPr>
              <w:pStyle w:val="TableParagraph"/>
              <w:spacing w:before="77"/>
              <w:ind w:left="543"/>
              <w:rPr>
                <w:sz w:val="24"/>
              </w:rPr>
            </w:pPr>
            <w:r>
              <w:rPr>
                <w:color w:val="FF3300"/>
                <w:sz w:val="24"/>
              </w:rPr>
              <w:t>大乘五蕴论</w:t>
            </w:r>
          </w:p>
        </w:tc>
      </w:tr>
      <w:tr>
        <w:trPr>
          <w:trHeight w:val="12619" w:hRule="atLeast"/>
        </w:trPr>
        <w:tc>
          <w:tcPr>
            <w:tcW w:w="10780" w:type="dxa"/>
            <w:tcBorders>
              <w:bottom w:val="nil"/>
            </w:tcBorders>
          </w:tcPr>
          <w:p>
            <w:pPr>
              <w:pStyle w:val="TableParagraph"/>
              <w:spacing w:before="5"/>
              <w:rPr>
                <w:rFonts w:ascii="Times New Roman"/>
                <w:sz w:val="21"/>
              </w:rPr>
            </w:pPr>
          </w:p>
          <w:p>
            <w:pPr>
              <w:pStyle w:val="TableParagraph"/>
              <w:ind w:left="4769" w:right="4751"/>
              <w:jc w:val="center"/>
              <w:rPr>
                <w:sz w:val="24"/>
              </w:rPr>
            </w:pPr>
            <w:r>
              <w:rPr>
                <w:color w:val="FF3300"/>
                <w:sz w:val="24"/>
              </w:rPr>
              <w:t>大乘五蕴论</w:t>
            </w:r>
          </w:p>
          <w:p>
            <w:pPr>
              <w:pStyle w:val="TableParagraph"/>
              <w:spacing w:before="2"/>
              <w:rPr>
                <w:rFonts w:ascii="Times New Roman"/>
                <w:sz w:val="26"/>
              </w:rPr>
            </w:pPr>
          </w:p>
          <w:p>
            <w:pPr>
              <w:pStyle w:val="TableParagraph"/>
              <w:ind w:left="808"/>
              <w:rPr>
                <w:sz w:val="24"/>
              </w:rPr>
            </w:pPr>
            <w:r>
              <w:rPr>
                <w:sz w:val="24"/>
              </w:rPr>
              <w:t>如薄伽梵略说五蕴。一者色蕴。二者受蕴。三者想蕴。四者行蕴。五者识蕴。</w:t>
            </w:r>
          </w:p>
          <w:p>
            <w:pPr>
              <w:pStyle w:val="TableParagraph"/>
              <w:spacing w:before="7"/>
              <w:rPr>
                <w:rFonts w:ascii="Times New Roman"/>
                <w:sz w:val="27"/>
              </w:rPr>
            </w:pPr>
          </w:p>
          <w:p>
            <w:pPr>
              <w:pStyle w:val="TableParagraph"/>
              <w:spacing w:line="362" w:lineRule="auto"/>
              <w:ind w:left="327" w:right="339" w:firstLine="480"/>
              <w:jc w:val="both"/>
              <w:rPr>
                <w:sz w:val="24"/>
              </w:rPr>
            </w:pPr>
            <w:r>
              <w:rPr>
                <w:sz w:val="24"/>
              </w:rPr>
              <w:t>云何色蕴。谓四大种及四大种所造诸色。云何四大种谓地界水界火界风界。云何地界。谓坚强性。云何水界。谓流湿性。云何火界。谓温燥性。云何风界。谓轻等动性。云何四大种所造诸色。谓眼根耳根鼻根舌根身根。色声香味所触一分无表色等。云何眼根。谓色为境清净色。云何耳根。谓声为境清净色。云何鼻根。谓香为境清净色。云何舌根。谓味为境清净色。云何身根。谓所触为境清净色。云何为色。谓眼境界。显色形色及表色等。云何为声。谓耳境界。执受大种因声。非执受大种因声。俱大种因声。云何为香。谓鼻境界。好香恶香及所余香。云何为味。谓舌境界。甘味酢味碱味辛味苦味淡味。</w:t>
            </w:r>
          </w:p>
          <w:p>
            <w:pPr>
              <w:pStyle w:val="TableParagraph"/>
              <w:spacing w:line="362" w:lineRule="auto" w:before="161"/>
              <w:ind w:left="327" w:right="339" w:firstLine="480"/>
              <w:rPr>
                <w:sz w:val="24"/>
              </w:rPr>
            </w:pPr>
            <w:r>
              <w:rPr>
                <w:sz w:val="24"/>
              </w:rPr>
              <w:t>云何为所触一分。谓身境界。除四大种。余所造触。滑性涩性重性轻性冷饥渴等。云何名为无表色等。谓有表业及三摩地所生色等无见无对。</w:t>
            </w:r>
          </w:p>
          <w:p>
            <w:pPr>
              <w:pStyle w:val="TableParagraph"/>
              <w:spacing w:line="362" w:lineRule="auto" w:before="161"/>
              <w:ind w:left="327" w:right="339" w:firstLine="480"/>
              <w:rPr>
                <w:sz w:val="24"/>
              </w:rPr>
            </w:pPr>
            <w:r>
              <w:rPr>
                <w:sz w:val="24"/>
              </w:rPr>
              <w:t>云何受蕴。谓三领纳。一苦二乐三不苦不乐。乐谓灭时有和合欲。苦谓生时有乖离欲。不苦不乐谓无二欲。</w:t>
            </w:r>
          </w:p>
          <w:p>
            <w:pPr>
              <w:pStyle w:val="TableParagraph"/>
              <w:spacing w:before="161"/>
              <w:ind w:left="808"/>
              <w:rPr>
                <w:sz w:val="24"/>
              </w:rPr>
            </w:pPr>
            <w:r>
              <w:rPr>
                <w:sz w:val="24"/>
              </w:rPr>
              <w:t>云何想蕴。谓于境界取种种相。</w:t>
            </w:r>
          </w:p>
          <w:p>
            <w:pPr>
              <w:pStyle w:val="TableParagraph"/>
              <w:spacing w:before="6"/>
              <w:rPr>
                <w:rFonts w:ascii="Times New Roman"/>
                <w:sz w:val="27"/>
              </w:rPr>
            </w:pPr>
          </w:p>
          <w:p>
            <w:pPr>
              <w:pStyle w:val="TableParagraph"/>
              <w:ind w:left="808"/>
              <w:rPr>
                <w:sz w:val="24"/>
              </w:rPr>
            </w:pPr>
            <w:r>
              <w:rPr>
                <w:sz w:val="24"/>
              </w:rPr>
              <w:t>云何行蕴。谓除受想。诸余心法及心不相应行。</w:t>
            </w:r>
          </w:p>
          <w:p>
            <w:pPr>
              <w:pStyle w:val="TableParagraph"/>
              <w:rPr>
                <w:rFonts w:ascii="Times New Roman"/>
                <w:sz w:val="29"/>
              </w:rPr>
            </w:pPr>
          </w:p>
          <w:p>
            <w:pPr>
              <w:pStyle w:val="TableParagraph"/>
              <w:spacing w:line="362" w:lineRule="auto"/>
              <w:ind w:left="327" w:right="339" w:firstLine="480"/>
              <w:jc w:val="both"/>
              <w:rPr>
                <w:sz w:val="24"/>
              </w:rPr>
            </w:pPr>
            <w:r>
              <w:rPr>
                <w:sz w:val="24"/>
              </w:rPr>
              <w:t>云何名为诸余心法。谓彼诸法与心相应。彼复云何。谓触作意受想思。欲胜解念三摩地慧。信惭愧无贪善根无嗔善根无痴善根精进轻安不放逸舍不害。贪嗔慢无明见疑。忿恨覆恼嫉悭诳谄憍害无惭无愧惛沉掉举不信懈怠放逸忘念散乱不正知。恶作睡眠寻伺。</w:t>
            </w:r>
          </w:p>
          <w:p>
            <w:pPr>
              <w:pStyle w:val="TableParagraph"/>
              <w:spacing w:before="161"/>
              <w:ind w:left="808"/>
              <w:rPr>
                <w:sz w:val="24"/>
              </w:rPr>
            </w:pPr>
            <w:r>
              <w:rPr>
                <w:sz w:val="24"/>
              </w:rPr>
              <w:t>是诸心法。五是遍行。五是别境。十一是善六是烦恼。余是随烦恼。四是不决定。</w:t>
            </w:r>
          </w:p>
          <w:p>
            <w:pPr>
              <w:pStyle w:val="TableParagraph"/>
              <w:spacing w:before="6"/>
              <w:rPr>
                <w:rFonts w:ascii="Times New Roman"/>
                <w:sz w:val="27"/>
              </w:rPr>
            </w:pPr>
          </w:p>
          <w:p>
            <w:pPr>
              <w:pStyle w:val="TableParagraph"/>
              <w:spacing w:line="362" w:lineRule="auto" w:before="1"/>
              <w:ind w:left="327" w:right="339" w:firstLine="480"/>
              <w:jc w:val="both"/>
              <w:rPr>
                <w:sz w:val="24"/>
              </w:rPr>
            </w:pPr>
            <w:r>
              <w:rPr>
                <w:sz w:val="24"/>
              </w:rPr>
              <w:t>云何为触。谓三和合分别为性。云何作意。谓能令心发悟为性。云何为思。谓于功德过失及俱相违。令心造作意业为性。云何为欲。谓于可爱事希望为性。云何胜解。谓于决定事即如所了印可为性。云何为念。谓于串习事令心不忘明记为性。云何三摩地。谓于所观事令心一境不散为性。云何为慧。谓即于彼择法为性。或如理所引。或不如理所引。或俱非所引。</w:t>
            </w:r>
          </w:p>
        </w:tc>
      </w:tr>
    </w:tbl>
    <w:p>
      <w:pPr>
        <w:spacing w:after="0" w:line="362" w:lineRule="auto"/>
        <w:jc w:val="both"/>
        <w:rPr>
          <w:sz w:val="24"/>
        </w:rPr>
        <w:sectPr>
          <w:type w:val="continuous"/>
          <w:pgSz w:w="12240" w:h="15840"/>
          <w:pgMar w:top="700" w:bottom="280" w:left="580" w:right="640"/>
        </w:sectPr>
      </w:pPr>
    </w:p>
    <w:p>
      <w:pPr>
        <w:pStyle w:val="BodyText"/>
        <w:spacing w:line="362" w:lineRule="auto" w:before="81"/>
        <w:ind w:left="449" w:right="477" w:firstLine="480"/>
      </w:pPr>
      <w:r>
        <w:rPr/>
        <w:pict>
          <v:line style="position:absolute;mso-position-horizontal-relative:page;mso-position-vertical-relative:page;z-index:251658240" from="574.012451pt,28.999924pt" to="574.012451pt,763.393923pt" stroked="true" strokeweight=".80090pt" strokecolor="#000000">
            <v:stroke dashstyle="solid"/>
            <w10:wrap type="none"/>
          </v:line>
        </w:pict>
      </w:r>
      <w:r>
        <w:rPr/>
        <w:pict>
          <v:line style="position:absolute;mso-position-horizontal-relative:page;mso-position-vertical-relative:page;z-index:251659264" from="35.006748pt,28.999924pt" to="35.006748pt,763.393923pt" stroked="true" strokeweight=".80090pt" strokecolor="#000000">
            <v:stroke dashstyle="solid"/>
            <w10:wrap type="none"/>
          </v:line>
        </w:pict>
      </w:r>
      <w:r>
        <w:rPr/>
        <w:t>云何为信。谓于业果诸谛宝中。极正符顺心净为性。云何为惭。谓自增上及法增上。于所作罪羞耻为性。</w:t>
      </w:r>
    </w:p>
    <w:p>
      <w:pPr>
        <w:pStyle w:val="BodyText"/>
        <w:spacing w:line="487" w:lineRule="auto" w:before="160"/>
        <w:ind w:right="5522"/>
      </w:pPr>
      <w:r>
        <w:rPr/>
        <w:t>云何为愧。谓世增上于所作罪羞耻为性。 </w:t>
      </w:r>
      <w:r>
        <w:rPr>
          <w:spacing w:val="-1"/>
        </w:rPr>
        <w:t>云何无贪。谓贪对治。令深厌患无著为性。</w:t>
      </w:r>
      <w:r>
        <w:rPr/>
        <w:t>云何无嗔。谓嗔对治。以慈为性。</w:t>
      </w:r>
    </w:p>
    <w:p>
      <w:pPr>
        <w:pStyle w:val="BodyText"/>
        <w:spacing w:line="487" w:lineRule="auto" w:before="2"/>
        <w:ind w:right="5282"/>
      </w:pPr>
      <w:r>
        <w:rPr/>
        <w:t>云何无痴。谓痴对治。以其如实正行为性。 </w:t>
      </w:r>
      <w:r>
        <w:rPr>
          <w:spacing w:val="-1"/>
        </w:rPr>
        <w:t>云何精进。谓懈怠对治。心于善品勇悍为性。云何轻安。谓粗重对治。身心调畅堪能为性。</w:t>
      </w:r>
    </w:p>
    <w:p>
      <w:pPr>
        <w:pStyle w:val="BodyText"/>
        <w:spacing w:before="17"/>
      </w:pPr>
      <w:r>
        <w:rPr/>
        <w:t>云何不放逸。谓放逸对治。即是无贪乃至精进依止此故舍不善法。及即修彼对治善法。</w:t>
      </w:r>
    </w:p>
    <w:p>
      <w:pPr>
        <w:pStyle w:val="BodyText"/>
        <w:spacing w:before="10"/>
        <w:ind w:left="0"/>
      </w:pPr>
    </w:p>
    <w:p>
      <w:pPr>
        <w:pStyle w:val="BodyText"/>
        <w:spacing w:line="362" w:lineRule="auto"/>
        <w:ind w:left="449" w:right="477" w:firstLine="480"/>
      </w:pPr>
      <w:r>
        <w:rPr/>
        <w:t>云何为舍。谓即无贪乃至精进依止此故。获得所有心平等性心正直性心无发悟性。又由此故于已除遣染污法中无染安住。</w:t>
      </w:r>
    </w:p>
    <w:p>
      <w:pPr>
        <w:pStyle w:val="BodyText"/>
        <w:spacing w:before="160"/>
      </w:pPr>
      <w:r>
        <w:rPr/>
        <w:t>云何不害。谓害对治。以悲为性。</w:t>
      </w:r>
    </w:p>
    <w:p>
      <w:pPr>
        <w:pStyle w:val="BodyText"/>
        <w:spacing w:before="10"/>
        <w:ind w:left="0"/>
      </w:pPr>
    </w:p>
    <w:p>
      <w:pPr>
        <w:pStyle w:val="BodyText"/>
        <w:spacing w:line="487" w:lineRule="auto"/>
        <w:ind w:right="6003"/>
      </w:pPr>
      <w:r>
        <w:rPr/>
        <w:t>云何为贪。谓于五取蕴染爱耽着为性。云何为嗔。谓于有情乐作损害为性。</w:t>
      </w:r>
    </w:p>
    <w:p>
      <w:pPr>
        <w:pStyle w:val="BodyText"/>
        <w:spacing w:line="362" w:lineRule="auto" w:before="1"/>
        <w:ind w:left="449" w:right="477" w:firstLine="480"/>
      </w:pPr>
      <w:r>
        <w:rPr/>
        <w:t>云何为慢。所谓七慢。一慢。二过慢。三慢过慢。四我慢。五增上慢。六卑慢。七邪慢。云何慢。谓于劣计己胜。或于等计己等。心高举为性。云何过慢。谓于等计己胜。或于胜计己等。心高举为性。云何慢过慢。谓于胜计己胜。心高举为性。云何我慢。谓于五取蕴随观为我或为我所。心高举为性。云何增上慢。谓于未得增上殊胜所证法中。谓我已得。心高举为性。云何卑 慢。谓于多分殊胜计己少分。下劣心高举为性。云何邪慢。谓实无德计己有德。心高举为性。</w:t>
      </w:r>
    </w:p>
    <w:p>
      <w:pPr>
        <w:pStyle w:val="BodyText"/>
        <w:spacing w:line="362" w:lineRule="auto" w:before="161"/>
        <w:ind w:left="449" w:right="477" w:firstLine="480"/>
      </w:pPr>
      <w:r>
        <w:rPr/>
        <w:t>云何无明。谓于业果及谛宝中无智为性。此复二种。所谓俱生分别所起。又欲缠贪嗔及欲缠无明。名三不善根。谓贪不善根。嗔不善根。痴不善根。</w:t>
      </w:r>
    </w:p>
    <w:p>
      <w:pPr>
        <w:pStyle w:val="BodyText"/>
        <w:spacing w:line="362" w:lineRule="auto" w:before="161"/>
        <w:ind w:left="449" w:right="477" w:firstLine="480"/>
      </w:pPr>
      <w:r>
        <w:rPr/>
        <w:t>云何为见。所谓五见。一萨迦耶见。二边执见。三邪见。四见取。五戒禁取。云何萨迦耶 见。谓于五取蕴随观为我或为我所。染污慧为性。云何边执见。谓即由彼增上力故。随观为常或复为断。染污慧为性。云何邪见。谓或谤因或复谤果。或谤作用或坏善事。染污慧为性。云何见取。谓即于三见及彼所依诸蕴。随观为最为上为胜为极。染污慧为性。云何戒禁取。谓于戒禁及彼所依诸蕴。随观为清净为解脱为出离。染污慧为性。云何为疑。谓于谛等犹豫为性。诸烦恼中</w:t>
      </w:r>
    </w:p>
    <w:p>
      <w:pPr>
        <w:spacing w:after="0" w:line="362" w:lineRule="auto"/>
        <w:sectPr>
          <w:pgSz w:w="12240" w:h="15840"/>
          <w:pgMar w:top="580" w:bottom="280" w:left="580" w:right="640"/>
        </w:sectPr>
      </w:pPr>
    </w:p>
    <w:p>
      <w:pPr>
        <w:pStyle w:val="BodyText"/>
        <w:spacing w:before="80"/>
        <w:ind w:left="449"/>
      </w:pPr>
      <w:r>
        <w:rPr/>
        <w:pict>
          <v:line style="position:absolute;mso-position-horizontal-relative:page;mso-position-vertical-relative:page;z-index:251660288" from="574.012451pt,29.000051pt" to="574.012451pt,763.393951pt" stroked="true" strokeweight=".80090pt" strokecolor="#000000">
            <v:stroke dashstyle="solid"/>
            <w10:wrap type="none"/>
          </v:line>
        </w:pict>
      </w:r>
      <w:r>
        <w:rPr/>
        <w:pict>
          <v:line style="position:absolute;mso-position-horizontal-relative:page;mso-position-vertical-relative:page;z-index:251661312" from="35.006748pt,29.000051pt" to="35.006748pt,763.393951pt" stroked="true" strokeweight=".80090pt" strokecolor="#000000">
            <v:stroke dashstyle="solid"/>
            <w10:wrap type="none"/>
          </v:line>
        </w:pict>
      </w:r>
      <w:r>
        <w:rPr/>
        <w:t>后三见及疑唯分别起。余通俱生及分别起。</w:t>
      </w:r>
    </w:p>
    <w:p>
      <w:pPr>
        <w:pStyle w:val="BodyText"/>
        <w:spacing w:before="11"/>
        <w:ind w:left="0"/>
      </w:pPr>
    </w:p>
    <w:p>
      <w:pPr>
        <w:pStyle w:val="BodyText"/>
        <w:spacing w:line="362" w:lineRule="auto"/>
        <w:ind w:left="449" w:right="477" w:firstLine="480"/>
        <w:jc w:val="both"/>
      </w:pPr>
      <w:r>
        <w:rPr/>
        <w:t>云何为忿。谓遇现前不饶益事心损恼为性。云何为恨。谓结怨不舍为性。云何为覆。谓于自罪覆藏为性。云何为恼。谓发暴恶言尤蛆为性。云何为嫉。谓于他盛事心妒为性。云何为悭。谓施相违心吝为性。云何为诳。谓为诳他诈现不实事为性。云何为谄。谓覆藏自过方便所摄心曲为性。云何为憍。谓于自盛事染着倨傲心恃为性。云何为害。谓于诸有情损恼为性。</w:t>
      </w:r>
    </w:p>
    <w:p>
      <w:pPr>
        <w:pStyle w:val="BodyText"/>
        <w:spacing w:line="362" w:lineRule="auto" w:before="161"/>
        <w:ind w:left="449" w:right="477" w:firstLine="480"/>
        <w:jc w:val="both"/>
      </w:pPr>
      <w:r>
        <w:rPr/>
        <w:t>云何无惭。谓于所作罪不自羞耻为性。云何无愧。谓于所作罪不羞耻他为性。云何惛沈。谓心不调畅无所堪能蒙昧为性。云何掉举。谓心不寂静为性。云何不信。谓信所对治。于业果等不正信顺。心不清净为性。云何懈怠。谓精进所治。于诸善品心不勇猛为性。云何放逸。谓即由贪嗔痴懈怠故。于诸烦恼心不防护。于诸善品不能修习为性。云何失念谓染污念于诸善法不能明记为性。云何散乱。谓贪嗔痴分心流荡为性。云何不正知。谓于身语意现前行中不正依住为性。</w:t>
      </w:r>
    </w:p>
    <w:p>
      <w:pPr>
        <w:pStyle w:val="BodyText"/>
        <w:spacing w:line="362" w:lineRule="auto" w:before="161"/>
        <w:ind w:left="449" w:right="477" w:firstLine="480"/>
      </w:pPr>
      <w:r>
        <w:rPr/>
        <w:t>云何恶作。谓心变悔为性。云何睡眠。谓不自在转心极昧略为性。云何为寻。谓能寻求意言分别思慧差别令心粗为性。云何为伺。谓能伺察意言分别思慧差别令心细为性。云何心不相应 行。谓依色心心法分位。但假建立不可施设。决定异性及不异性。彼复云何。谓得无想等至灭尽等至无想所有。命根众同分。生老住无常。名身句身文身异生性如是等类。</w:t>
      </w:r>
    </w:p>
    <w:p>
      <w:pPr>
        <w:pStyle w:val="BodyText"/>
        <w:spacing w:before="161"/>
      </w:pPr>
      <w:r>
        <w:rPr/>
        <w:t>云何为得。谓若获若成就。此复三种。谓若种子若自在若现前。如其所应。</w:t>
      </w:r>
    </w:p>
    <w:p>
      <w:pPr>
        <w:pStyle w:val="BodyText"/>
        <w:spacing w:line="620" w:lineRule="atLeast" w:before="5"/>
        <w:ind w:right="477"/>
      </w:pPr>
      <w:r>
        <w:rPr/>
        <w:t>云何无想等至。谓已离遍净贪。未离上贪。由出离想作意为先。不恒现行心心法灭为性。 云何灭尽等至。谓已离无所有处贪。从第一有更求胜进。由止息想作意为先。不恒现行及恒</w:t>
      </w:r>
    </w:p>
    <w:p>
      <w:pPr>
        <w:pStyle w:val="BodyText"/>
        <w:spacing w:before="162"/>
        <w:ind w:left="449"/>
      </w:pPr>
      <w:r>
        <w:rPr/>
        <w:t>行一分心心法灭为性。</w:t>
      </w:r>
    </w:p>
    <w:p>
      <w:pPr>
        <w:pStyle w:val="BodyText"/>
        <w:spacing w:before="12"/>
        <w:ind w:left="0"/>
        <w:rPr>
          <w:sz w:val="25"/>
        </w:rPr>
      </w:pPr>
    </w:p>
    <w:p>
      <w:pPr>
        <w:pStyle w:val="BodyText"/>
        <w:spacing w:line="362" w:lineRule="auto"/>
        <w:ind w:left="449" w:right="477" w:firstLine="480"/>
        <w:jc w:val="both"/>
      </w:pPr>
      <w:r>
        <w:rPr/>
        <w:t>云何无想所有。谓无想等至果。无想有情天中生已。不恒现行心心法灭为性。云何命根。谓于众同分中。先业所引。住时决定为性。云何众同分。谓诸有情自类相似为性。云何为生。谓于众同分中。诸行本无今有为性。云何为老。谓即如是诸行相续变异为性。云何为住。谓即如是诸行相续随转为性。云何无常。谓即如是诸行相续谢灭为性。云何名身。谓诸法自性增语为性。云何句身。谓诸法差别增语为性。云何文身。谓诸字为性。以能表彰前二种故。亦名为显。由与名句为所依止显了义故。亦名为字。非差别门所变易故。云何异生性。谓于诸圣法不得为性。如是等类已说行蕴。</w:t>
      </w:r>
    </w:p>
    <w:p>
      <w:pPr>
        <w:pStyle w:val="BodyText"/>
        <w:spacing w:line="362" w:lineRule="auto" w:before="162"/>
        <w:ind w:left="449" w:right="477" w:firstLine="480"/>
      </w:pPr>
      <w:r>
        <w:rPr/>
        <w:t>云何识蕴。谓于所缘境了别为性。亦名心意。由采集故。意所摄故。最胜心者。谓阿赖耶 识。何以故。由此识中诸行种子皆采集故。又此行缘不可分别。前后一类相续随转。又由此故从灭尽等至无想等至无想所有起者。了别境名转识还生。待所缘缘差别转故。数数间断还复转故。</w:t>
      </w:r>
    </w:p>
    <w:p>
      <w:pPr>
        <w:spacing w:after="0" w:line="362" w:lineRule="auto"/>
        <w:sectPr>
          <w:pgSz w:w="12240" w:h="15840"/>
          <w:pgMar w:top="580" w:bottom="280" w:left="580" w:right="640"/>
        </w:sectPr>
      </w:pPr>
    </w:p>
    <w:p>
      <w:pPr>
        <w:pStyle w:val="BodyText"/>
        <w:spacing w:line="360" w:lineRule="auto" w:before="88"/>
        <w:ind w:left="449" w:right="477"/>
        <w:jc w:val="both"/>
      </w:pPr>
      <w:r>
        <w:rPr/>
        <w:pict>
          <v:line style="position:absolute;mso-position-horizontal-relative:page;mso-position-vertical-relative:page;z-index:251662336" from="574.012451pt,28.999823pt" to="574.012451pt,763.393822pt" stroked="true" strokeweight=".80090pt" strokecolor="#000000">
            <v:stroke dashstyle="solid"/>
            <w10:wrap type="none"/>
          </v:line>
        </w:pict>
      </w:r>
      <w:r>
        <w:rPr/>
        <w:pict>
          <v:line style="position:absolute;mso-position-horizontal-relative:page;mso-position-vertical-relative:page;z-index:251663360" from="35.006748pt,28.999823pt" to="35.006748pt,763.393822pt" stroked="true" strokeweight=".80090pt" strokecolor="#000000">
            <v:stroke dashstyle="solid"/>
            <w10:wrap type="none"/>
          </v:line>
        </w:pict>
      </w:r>
      <w:r>
        <w:rPr/>
        <w:t>又令生死流转旋还故。阿赖耶识者。谓能摄藏一切种子故。又能摄藏我慢相故。又复缘身为境界故。即此亦名阿陀那识。能执持身故。最胜意者。谓缘阿赖耶识为境。恒与我痴我见我慢及我爱等相应之识。前后一类相续随转。除阿罗汉果及与圣道灭尽等至现在前位。</w:t>
      </w:r>
    </w:p>
    <w:p>
      <w:pPr>
        <w:pStyle w:val="BodyText"/>
        <w:spacing w:before="164"/>
      </w:pPr>
      <w:r>
        <w:rPr/>
        <w:t>问以何义故说名为蕴。答以积聚义说名为蕴。谓世相续品类趣处差别色等总略摄故。</w:t>
      </w:r>
    </w:p>
    <w:p>
      <w:pPr>
        <w:pStyle w:val="BodyText"/>
        <w:spacing w:before="9"/>
        <w:ind w:left="0"/>
      </w:pPr>
    </w:p>
    <w:p>
      <w:pPr>
        <w:pStyle w:val="BodyText"/>
        <w:spacing w:line="362" w:lineRule="auto" w:before="1"/>
        <w:ind w:left="449" w:right="477" w:firstLine="480"/>
        <w:jc w:val="both"/>
      </w:pPr>
      <w:r>
        <w:rPr/>
        <w:t>复有十二处。谓眼处色处。耳处声处。鼻处香处。舌处味处。身处触处。意处法处。眼等五处及色声香味处。如前已释。言触处者。谓四大种及前所说所触一分。言意处者。即是识蕴。言法处者。谓受想行蕴无表色等及与无为。云何无为。谓虚空无为。非择灭无为。择灭无为。及真如等。云何虚空。谓若容受诸色。云何非择灭。谓若灭非离系。此复云何。谓离烦恼对治而诸蕴毕竟不生。云何择灭。谓若灭是离系。此复云何。谓由烦恼对治故诸蕴毕竟不生。云何真如。谓诸法法性法无我性。</w:t>
      </w:r>
    </w:p>
    <w:p>
      <w:pPr>
        <w:pStyle w:val="BodyText"/>
        <w:spacing w:before="161"/>
      </w:pPr>
      <w:r>
        <w:rPr/>
        <w:t>问以何义故名为处耶。答诸识生长门义。是处义。</w:t>
      </w:r>
    </w:p>
    <w:p>
      <w:pPr>
        <w:pStyle w:val="BodyText"/>
        <w:spacing w:before="10"/>
        <w:ind w:left="0"/>
      </w:pPr>
    </w:p>
    <w:p>
      <w:pPr>
        <w:pStyle w:val="BodyText"/>
        <w:spacing w:line="362" w:lineRule="auto"/>
        <w:ind w:left="449" w:right="477" w:firstLine="480"/>
      </w:pPr>
      <w:r>
        <w:rPr/>
        <w:t>复有十八界。谓眼界色界眼识界。耳界声界耳识界。鼻界香界鼻识界。舌界味界舌识界。身界触界身识界。意界法界意识界。</w:t>
      </w:r>
    </w:p>
    <w:p>
      <w:pPr>
        <w:pStyle w:val="BodyText"/>
        <w:spacing w:line="362" w:lineRule="auto" w:before="160"/>
        <w:ind w:left="449" w:right="477" w:firstLine="480"/>
        <w:jc w:val="both"/>
      </w:pPr>
      <w:r>
        <w:rPr/>
        <w:t>眼等诸界及色等诸界。如处中说。六识界者。谓依眼等根缘色等境。了别为性。言意界者。谓即彼无间灭等。为欲显示第六意识。及广建立十八界故。如是色蕴即十处十界及法处法界一分识蕴即意处及七心界。余三蕴及色蕴一分并诸无为即法处法界。</w:t>
      </w:r>
    </w:p>
    <w:p>
      <w:pPr>
        <w:pStyle w:val="BodyText"/>
        <w:spacing w:before="161"/>
      </w:pPr>
      <w:r>
        <w:rPr/>
        <w:t>问以何义故说名为界。答以能任持无作用性自相义故。说名为界。</w:t>
      </w:r>
    </w:p>
    <w:p>
      <w:pPr>
        <w:pStyle w:val="BodyText"/>
        <w:ind w:left="0"/>
        <w:rPr>
          <w:sz w:val="26"/>
        </w:rPr>
      </w:pPr>
    </w:p>
    <w:p>
      <w:pPr>
        <w:pStyle w:val="BodyText"/>
        <w:spacing w:line="362" w:lineRule="auto"/>
        <w:ind w:left="449" w:right="477" w:firstLine="480"/>
      </w:pPr>
      <w:r>
        <w:rPr/>
        <w:t>问以何义故宣说蕴等。答为欲对治三种我执。如其次第三种我执者。谓一性我执。受者我执作者我执。</w:t>
      </w:r>
    </w:p>
    <w:p>
      <w:pPr>
        <w:pStyle w:val="BodyText"/>
        <w:spacing w:line="487" w:lineRule="auto" w:before="161"/>
        <w:ind w:right="4801"/>
      </w:pPr>
      <w:r>
        <w:rPr>
          <w:spacing w:val="-1"/>
        </w:rPr>
        <w:t>复次此十八界几有色。谓十界一少分即色蕴自性。</w:t>
      </w:r>
      <w:r>
        <w:rPr/>
        <w:t>几无色。谓所余界。</w:t>
      </w:r>
    </w:p>
    <w:p>
      <w:pPr>
        <w:pStyle w:val="BodyText"/>
        <w:spacing w:line="487" w:lineRule="auto" w:before="1"/>
        <w:ind w:right="7925"/>
      </w:pPr>
      <w:r>
        <w:rPr>
          <w:spacing w:val="-2"/>
        </w:rPr>
        <w:t>几有见。谓一色界。几无见。谓所余界。</w:t>
      </w:r>
    </w:p>
    <w:p>
      <w:pPr>
        <w:pStyle w:val="BodyText"/>
        <w:spacing w:line="487" w:lineRule="auto" w:before="1"/>
        <w:ind w:right="4081"/>
      </w:pPr>
      <w:r>
        <w:rPr>
          <w:spacing w:val="-1"/>
        </w:rPr>
        <w:t>几有对。谓十有色界。若彼于是处有所障碍。是有对义。</w:t>
      </w:r>
      <w:r>
        <w:rPr/>
        <w:t>几无对。谓所余界。</w:t>
      </w:r>
    </w:p>
    <w:p>
      <w:pPr>
        <w:pStyle w:val="BodyText"/>
        <w:spacing w:before="1"/>
      </w:pPr>
      <w:r>
        <w:rPr/>
        <w:t>几有漏。谓十五界及后三少分。由于是处烦恼起故。现所行处故。</w:t>
      </w:r>
    </w:p>
    <w:p>
      <w:pPr>
        <w:spacing w:after="0"/>
        <w:sectPr>
          <w:pgSz w:w="12240" w:h="15840"/>
          <w:pgMar w:top="580" w:bottom="280" w:left="580" w:right="640"/>
        </w:sectPr>
      </w:pPr>
    </w:p>
    <w:p>
      <w:pPr>
        <w:pStyle w:val="BodyText"/>
        <w:spacing w:line="487" w:lineRule="auto" w:before="83"/>
        <w:ind w:right="7685"/>
      </w:pPr>
      <w:r>
        <w:rPr/>
        <w:pict>
          <v:group style="position:absolute;margin-left:34.6063pt;margin-top:28.999952pt;width:539.85pt;height:606.450pt;mso-position-horizontal-relative:page;mso-position-vertical-relative:page;z-index:-251786240" coordorigin="692,580" coordsize="10797,12129">
            <v:line style="position:absolute" from="11480,580" to="11480,12244" stroked="true" strokeweight=".80090pt" strokecolor="#000000">
              <v:stroke dashstyle="solid"/>
            </v:line>
            <v:line style="position:absolute" from="700,580" to="700,12244" stroked="true" strokeweight=".80090pt" strokecolor="#000000">
              <v:stroke dashstyle="solid"/>
            </v:line>
            <v:rect style="position:absolute;left:692;top:12243;width:10797;height:465" filled="true" fillcolor="#ff9933" stroked="false">
              <v:fill type="solid"/>
            </v:rect>
            <v:rect style="position:absolute;left:700;top:12251;width:10781;height:449" filled="false" stroked="true" strokeweight=".80090pt" strokecolor="#000000">
              <v:stroke dashstyle="solid"/>
            </v:rect>
            <v:shape style="position:absolute;left:1252;top:11058;width:65;height:481" coordorigin="1253,11058" coordsize="65,481" path="m1317,11507l1315,11493,1309,11483,1299,11477,1285,11475,1271,11477,1261,11483,1255,11493,1253,11507,1255,11521,1261,11531,1271,11537,1285,11539,1299,11537,1309,11531,1315,11521,1317,11507m1317,11090l1315,11076,1309,11066,1299,11060,1285,11058,1271,11060,1261,11066,1255,11076,1253,11090,1255,11104,1261,11114,1271,11120,1285,11122,1299,11120,1309,11114,1315,11104,1317,11090e" filled="true" fillcolor="#000000" stroked="false">
              <v:path arrowok="t"/>
              <v:fill type="solid"/>
            </v:shape>
            <w10:wrap type="none"/>
          </v:group>
        </w:pict>
      </w:r>
      <w:r>
        <w:rPr>
          <w:spacing w:val="-2"/>
        </w:rPr>
        <w:t>几无漏。谓后三少分。</w:t>
      </w:r>
      <w:r>
        <w:rPr/>
        <w:t>几欲界系。谓一切。</w:t>
      </w:r>
    </w:p>
    <w:p>
      <w:pPr>
        <w:pStyle w:val="BodyText"/>
        <w:spacing w:line="487" w:lineRule="auto" w:before="1"/>
        <w:ind w:right="6243"/>
      </w:pPr>
      <w:r>
        <w:rPr>
          <w:spacing w:val="-1"/>
        </w:rPr>
        <w:t>几色界系。谓十四。除香味鼻舌识。</w:t>
      </w:r>
      <w:r>
        <w:rPr/>
        <w:t>几无色界系谓后三。</w:t>
      </w:r>
    </w:p>
    <w:p>
      <w:pPr>
        <w:pStyle w:val="BodyText"/>
        <w:spacing w:line="487" w:lineRule="auto"/>
        <w:ind w:right="7444"/>
      </w:pPr>
      <w:r>
        <w:rPr>
          <w:spacing w:val="-2"/>
        </w:rPr>
        <w:t>几不系。谓即彼无漏界。</w:t>
      </w:r>
      <w:r>
        <w:rPr/>
        <w:t>几蕴所摄。谓除无为。 几取蕴所摄谓有漏。</w:t>
      </w:r>
    </w:p>
    <w:p>
      <w:pPr>
        <w:pStyle w:val="BodyText"/>
        <w:spacing w:before="18"/>
      </w:pPr>
      <w:r>
        <w:rPr/>
        <w:t>几善几不善几无记。谓十通三种七心界及色声法界八无记。</w:t>
      </w:r>
    </w:p>
    <w:p>
      <w:pPr>
        <w:pStyle w:val="BodyText"/>
        <w:spacing w:before="9"/>
        <w:ind w:left="0"/>
      </w:pPr>
    </w:p>
    <w:p>
      <w:pPr>
        <w:pStyle w:val="BodyText"/>
        <w:spacing w:line="487" w:lineRule="auto" w:before="1"/>
        <w:ind w:right="3360"/>
      </w:pPr>
      <w:r>
        <w:rPr/>
        <w:t>几是内。谓十二。除色声香味触及法界。几是外。谓六即所除。几有缘。谓七心界及法界少分心所有法。</w:t>
      </w:r>
    </w:p>
    <w:p>
      <w:pPr>
        <w:pStyle w:val="BodyText"/>
        <w:spacing w:before="1"/>
      </w:pPr>
      <w:r>
        <w:rPr/>
        <w:t>几无缘。谓余十及法界少分。</w:t>
      </w:r>
    </w:p>
    <w:p>
      <w:pPr>
        <w:pStyle w:val="BodyText"/>
        <w:spacing w:before="9"/>
        <w:ind w:left="0"/>
      </w:pPr>
    </w:p>
    <w:p>
      <w:pPr>
        <w:pStyle w:val="BodyText"/>
      </w:pPr>
      <w:r>
        <w:rPr/>
        <w:t>几有分别。谓意界意识界法界少分。</w:t>
      </w:r>
    </w:p>
    <w:p>
      <w:pPr>
        <w:pStyle w:val="BodyText"/>
        <w:spacing w:before="10"/>
        <w:ind w:left="0"/>
      </w:pPr>
    </w:p>
    <w:p>
      <w:pPr>
        <w:pStyle w:val="BodyText"/>
        <w:spacing w:line="487" w:lineRule="auto"/>
        <w:ind w:right="5282"/>
      </w:pPr>
      <w:r>
        <w:rPr/>
        <w:t>几执受。谓五内界及四界少分。谓色香味触。几非执受。谓余九四少分。</w:t>
      </w:r>
    </w:p>
    <w:p>
      <w:pPr>
        <w:pStyle w:val="BodyText"/>
        <w:spacing w:line="487" w:lineRule="auto" w:before="1"/>
        <w:ind w:right="5282"/>
      </w:pPr>
      <w:r>
        <w:rPr/>
        <w:t>几同分。谓五内有色界。由与自识等境界故。几彼同分。谓即彼自识空时与自类等故。</w:t>
      </w:r>
    </w:p>
    <w:p>
      <w:pPr>
        <w:pStyle w:val="BodyText"/>
        <w:spacing w:before="8"/>
        <w:ind w:left="0"/>
        <w:rPr>
          <w:sz w:val="13"/>
        </w:rPr>
      </w:pPr>
    </w:p>
    <w:p>
      <w:pPr>
        <w:pStyle w:val="BodyText"/>
        <w:spacing w:line="324" w:lineRule="auto" w:before="67"/>
        <w:ind w:left="873" w:right="4858"/>
      </w:pPr>
      <w:hyperlink r:id="rId5">
        <w:r>
          <w:rPr>
            <w:color w:val="878787"/>
          </w:rPr>
          <w:t>上一部：乾隆大藏经·大乘论·大乘广五蕴论一卷</w:t>
        </w:r>
      </w:hyperlink>
      <w:hyperlink r:id="rId6">
        <w:r>
          <w:rPr>
            <w:color w:val="878787"/>
          </w:rPr>
          <w:t>下一部：乾隆大藏经·大乘论·显扬圣教论二十卷</w:t>
        </w:r>
      </w:hyperlink>
    </w:p>
    <w:p>
      <w:pPr>
        <w:pStyle w:val="BodyText"/>
        <w:ind w:left="0"/>
      </w:pPr>
    </w:p>
    <w:p>
      <w:pPr>
        <w:pStyle w:val="BodyText"/>
        <w:spacing w:before="2"/>
        <w:ind w:left="0"/>
        <w:rPr>
          <w:sz w:val="21"/>
        </w:rPr>
      </w:pPr>
    </w:p>
    <w:p>
      <w:pPr>
        <w:pStyle w:val="BodyText"/>
        <w:ind w:left="3691" w:right="3688"/>
        <w:jc w:val="center"/>
      </w:pPr>
      <w:r>
        <w:rPr>
          <w:color w:val="DDDDDD"/>
        </w:rPr>
        <w:t>乾隆大藏经·大乘论·大乘五蕴论</w:t>
      </w:r>
    </w:p>
    <w:sectPr>
      <w:pgSz w:w="12240" w:h="15840"/>
      <w:pgMar w:top="580" w:bottom="280" w:left="580" w:right="6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imSun">
    <w:altName w:val="SimSun"/>
    <w:charset w:val="0"/>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911" w:hanging="369"/>
      </w:pPr>
      <w:rPr>
        <w:rFonts w:hint="default" w:ascii="SimSun" w:hAnsi="SimSun" w:eastAsia="SimSun" w:cs="SimSun"/>
        <w:color w:val="FF3300"/>
        <w:w w:val="100"/>
        <w:sz w:val="24"/>
        <w:szCs w:val="24"/>
        <w:lang w:val="zh-CN" w:eastAsia="zh-CN" w:bidi="zh-CN"/>
      </w:rPr>
    </w:lvl>
    <w:lvl w:ilvl="1">
      <w:start w:val="0"/>
      <w:numFmt w:val="bullet"/>
      <w:lvlText w:val="·"/>
      <w:lvlJc w:val="left"/>
      <w:pPr>
        <w:ind w:left="4252" w:hanging="369"/>
      </w:pPr>
      <w:rPr>
        <w:rFonts w:hint="default" w:ascii="SimSun" w:hAnsi="SimSun" w:eastAsia="SimSun" w:cs="SimSun"/>
        <w:color w:val="993300"/>
        <w:w w:val="100"/>
        <w:sz w:val="24"/>
        <w:szCs w:val="24"/>
        <w:lang w:val="zh-CN" w:eastAsia="zh-CN" w:bidi="zh-CN"/>
      </w:rPr>
    </w:lvl>
    <w:lvl w:ilvl="2">
      <w:start w:val="0"/>
      <w:numFmt w:val="bullet"/>
      <w:lvlText w:val="•"/>
      <w:lvlJc w:val="left"/>
      <w:pPr>
        <w:ind w:left="4982" w:hanging="369"/>
      </w:pPr>
      <w:rPr>
        <w:rFonts w:hint="default"/>
        <w:lang w:val="zh-CN" w:eastAsia="zh-CN" w:bidi="zh-CN"/>
      </w:rPr>
    </w:lvl>
    <w:lvl w:ilvl="3">
      <w:start w:val="0"/>
      <w:numFmt w:val="bullet"/>
      <w:lvlText w:val="•"/>
      <w:lvlJc w:val="left"/>
      <w:pPr>
        <w:ind w:left="5704" w:hanging="369"/>
      </w:pPr>
      <w:rPr>
        <w:rFonts w:hint="default"/>
        <w:lang w:val="zh-CN" w:eastAsia="zh-CN" w:bidi="zh-CN"/>
      </w:rPr>
    </w:lvl>
    <w:lvl w:ilvl="4">
      <w:start w:val="0"/>
      <w:numFmt w:val="bullet"/>
      <w:lvlText w:val="•"/>
      <w:lvlJc w:val="left"/>
      <w:pPr>
        <w:ind w:left="6426" w:hanging="369"/>
      </w:pPr>
      <w:rPr>
        <w:rFonts w:hint="default"/>
        <w:lang w:val="zh-CN" w:eastAsia="zh-CN" w:bidi="zh-CN"/>
      </w:rPr>
    </w:lvl>
    <w:lvl w:ilvl="5">
      <w:start w:val="0"/>
      <w:numFmt w:val="bullet"/>
      <w:lvlText w:val="•"/>
      <w:lvlJc w:val="left"/>
      <w:pPr>
        <w:ind w:left="7148" w:hanging="369"/>
      </w:pPr>
      <w:rPr>
        <w:rFonts w:hint="default"/>
        <w:lang w:val="zh-CN" w:eastAsia="zh-CN" w:bidi="zh-CN"/>
      </w:rPr>
    </w:lvl>
    <w:lvl w:ilvl="6">
      <w:start w:val="0"/>
      <w:numFmt w:val="bullet"/>
      <w:lvlText w:val="•"/>
      <w:lvlJc w:val="left"/>
      <w:pPr>
        <w:ind w:left="7871" w:hanging="369"/>
      </w:pPr>
      <w:rPr>
        <w:rFonts w:hint="default"/>
        <w:lang w:val="zh-CN" w:eastAsia="zh-CN" w:bidi="zh-CN"/>
      </w:rPr>
    </w:lvl>
    <w:lvl w:ilvl="7">
      <w:start w:val="0"/>
      <w:numFmt w:val="bullet"/>
      <w:lvlText w:val="•"/>
      <w:lvlJc w:val="left"/>
      <w:pPr>
        <w:ind w:left="8593" w:hanging="369"/>
      </w:pPr>
      <w:rPr>
        <w:rFonts w:hint="default"/>
        <w:lang w:val="zh-CN" w:eastAsia="zh-CN" w:bidi="zh-CN"/>
      </w:rPr>
    </w:lvl>
    <w:lvl w:ilvl="8">
      <w:start w:val="0"/>
      <w:numFmt w:val="bullet"/>
      <w:lvlText w:val="•"/>
      <w:lvlJc w:val="left"/>
      <w:pPr>
        <w:ind w:left="9315" w:hanging="369"/>
      </w:pPr>
      <w:rPr>
        <w:rFonts w:hint="default"/>
        <w:lang w:val="zh-CN" w:eastAsia="zh-CN" w:bidi="zh-C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imSun" w:hAnsi="SimSun" w:eastAsia="SimSun" w:cs="SimSun"/>
      <w:lang w:val="zh-CN" w:eastAsia="zh-CN" w:bidi="zh-CN"/>
    </w:rPr>
  </w:style>
  <w:style w:styleId="BodyText" w:type="paragraph">
    <w:name w:val="Body Text"/>
    <w:basedOn w:val="Normal"/>
    <w:uiPriority w:val="1"/>
    <w:qFormat/>
    <w:pPr>
      <w:ind w:left="930"/>
    </w:pPr>
    <w:rPr>
      <w:rFonts w:ascii="SimSun" w:hAnsi="SimSun" w:eastAsia="SimSun" w:cs="SimSun"/>
      <w:sz w:val="24"/>
      <w:szCs w:val="24"/>
      <w:lang w:val="zh-CN" w:eastAsia="zh-CN" w:bidi="zh-CN"/>
    </w:rPr>
  </w:style>
  <w:style w:styleId="ListParagraph" w:type="paragraph">
    <w:name w:val="List Paragraph"/>
    <w:basedOn w:val="Normal"/>
    <w:uiPriority w:val="1"/>
    <w:qFormat/>
    <w:pPr/>
    <w:rPr>
      <w:lang w:val="zh-CN" w:eastAsia="zh-CN" w:bidi="zh-CN"/>
    </w:rPr>
  </w:style>
  <w:style w:styleId="TableParagraph" w:type="paragraph">
    <w:name w:val="Table Paragraph"/>
    <w:basedOn w:val="Normal"/>
    <w:uiPriority w:val="1"/>
    <w:qFormat/>
    <w:pPr/>
    <w:rPr>
      <w:rFonts w:ascii="SimSun" w:hAnsi="SimSun" w:eastAsia="SimSun" w:cs="SimSun"/>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qldzj.com/htmljw/1169.htm" TargetMode="External"/><Relationship Id="rId6" Type="http://schemas.openxmlformats.org/officeDocument/2006/relationships/hyperlink" Target="http://qldzj.com/htmljw/1171.htm"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2019-12-18T12:26:19Z</dcterms:created>
  <dcterms:modified xsi:type="dcterms:W3CDTF">2019-12-18T12:26:19Z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2019-12-19T00:00:00Z</vt:filetime>
  </property>
  <property fmtid="{D5CDD505-2E9C-101B-9397-08002B2CF9AE}" pid="3" name="Creator">
    <vt:lpwstr>Mozilla/5.0 (Windows NT 5.1) AppleWebKit/537.36 (KHTML, like Gecko) Chrome/49.0.2623.112 Safari/537.36</vt:lpwstr>
  </property>
  <property fmtid="{D5CDD505-2E9C-101B-9397-08002B2CF9AE}" pid="4" name="LastSaved">
    <vt:filetime>2019-12-18T00:00:00Z</vt:filetime>
  </property>
</Properties>
</file>