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23"/>
        <w:gridCol w:w="2096"/>
        <w:gridCol w:w="2562"/>
      </w:tblGrid>
      <w:tr>
        <w:trPr>
          <w:trHeight w:val="748" w:hRule="atLeast"/>
        </w:trPr>
        <w:tc>
          <w:tcPr>
            <w:tcW w:w="10781" w:type="dxa"/>
            <w:gridSpan w:val="3"/>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428" w:val="left" w:leader="none"/>
                <w:tab w:pos="7567" w:val="left" w:leader="none"/>
              </w:tabs>
              <w:spacing w:line="213" w:lineRule="auto" w:before="113"/>
              <w:ind w:left="9730" w:right="308" w:hanging="9403"/>
              <w:jc w:val="right"/>
              <w:rPr>
                <w:sz w:val="24"/>
              </w:rPr>
            </w:pPr>
            <w:r>
              <w:rPr>
                <w:color w:val="DDDDDD"/>
                <w:sz w:val="24"/>
              </w:rPr>
              <w:t>大乘论·第</w:t>
            </w:r>
            <w:r>
              <w:rPr>
                <w:color w:val="DDDDDD"/>
                <w:spacing w:val="8"/>
                <w:sz w:val="24"/>
              </w:rPr>
              <w:t>1195</w:t>
            </w:r>
            <w:r>
              <w:rPr>
                <w:color w:val="DDDDDD"/>
                <w:sz w:val="24"/>
              </w:rPr>
              <w:t>部</w:t>
              <w:tab/>
            </w:r>
            <w:r>
              <w:rPr>
                <w:color w:val="EDFFFF"/>
                <w:sz w:val="24"/>
              </w:rPr>
              <w:t>显扬圣教论颂一卷</w:t>
              <w:tab/>
            </w:r>
            <w:r>
              <w:rPr>
                <w:color w:val="DDDDDD"/>
                <w:sz w:val="24"/>
              </w:rPr>
              <w:t>无著菩萨造唐三藏法师玄</w:t>
            </w:r>
            <w:r>
              <w:rPr>
                <w:color w:val="DDDDDD"/>
                <w:spacing w:val="-14"/>
                <w:sz w:val="24"/>
              </w:rPr>
              <w:t>奘</w:t>
            </w:r>
            <w:r>
              <w:rPr>
                <w:color w:val="DDDDDD"/>
                <w:sz w:val="24"/>
              </w:rPr>
              <w:t>奉诏</w:t>
            </w:r>
            <w:r>
              <w:rPr>
                <w:color w:val="DDDDDD"/>
                <w:spacing w:val="-17"/>
                <w:sz w:val="24"/>
              </w:rPr>
              <w:t>译</w:t>
            </w:r>
          </w:p>
        </w:tc>
      </w:tr>
      <w:tr>
        <w:trPr>
          <w:trHeight w:val="384" w:hRule="atLeast"/>
        </w:trPr>
        <w:tc>
          <w:tcPr>
            <w:tcW w:w="6123" w:type="dxa"/>
            <w:tcBorders>
              <w:top w:val="single" w:sz="8" w:space="0" w:color="000000"/>
              <w:left w:val="single" w:sz="8" w:space="0" w:color="000000"/>
            </w:tcBorders>
          </w:tcPr>
          <w:p>
            <w:pPr>
              <w:pStyle w:val="TableParagraph"/>
              <w:numPr>
                <w:ilvl w:val="0"/>
                <w:numId w:val="1"/>
              </w:numPr>
              <w:tabs>
                <w:tab w:pos="912" w:val="left" w:leader="none"/>
                <w:tab w:pos="3884" w:val="left" w:leader="none"/>
              </w:tabs>
              <w:spacing w:line="278"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r>
          </w:p>
        </w:tc>
        <w:tc>
          <w:tcPr>
            <w:tcW w:w="2096"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6123" w:type="dxa"/>
            <w:tcBorders>
              <w:left w:val="single" w:sz="8" w:space="0" w:color="000000"/>
            </w:tcBorders>
          </w:tcPr>
          <w:p>
            <w:pPr>
              <w:pStyle w:val="TableParagraph"/>
              <w:numPr>
                <w:ilvl w:val="0"/>
                <w:numId w:val="2"/>
              </w:numPr>
              <w:tabs>
                <w:tab w:pos="4253" w:val="left" w:leader="none"/>
              </w:tabs>
              <w:spacing w:line="282" w:lineRule="exact" w:before="0" w:after="0"/>
              <w:ind w:left="4252" w:right="0" w:hanging="369"/>
              <w:jc w:val="left"/>
              <w:rPr>
                <w:sz w:val="24"/>
              </w:rPr>
            </w:pPr>
            <w:r>
              <w:rPr>
                <w:color w:val="993300"/>
                <w:sz w:val="24"/>
              </w:rPr>
              <w:t>译作者</w:t>
            </w:r>
          </w:p>
        </w:tc>
        <w:tc>
          <w:tcPr>
            <w:tcW w:w="2096"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6123" w:type="dxa"/>
            <w:tcBorders>
              <w:left w:val="single" w:sz="8" w:space="0" w:color="000000"/>
            </w:tcBorders>
          </w:tcPr>
          <w:p>
            <w:pPr>
              <w:pStyle w:val="TableParagraph"/>
              <w:tabs>
                <w:tab w:pos="3884" w:val="left" w:leader="none"/>
              </w:tabs>
              <w:spacing w:line="278" w:lineRule="exact" w:before="30"/>
              <w:ind w:left="543"/>
              <w:rPr>
                <w:sz w:val="24"/>
              </w:rPr>
            </w:pPr>
            <w:r>
              <w:rPr>
                <w:color w:val="FF3300"/>
                <w:sz w:val="24"/>
              </w:rPr>
              <w:t>显扬圣教论颂</w:t>
              <w:tab/>
            </w:r>
            <w:r>
              <w:rPr>
                <w:color w:val="993300"/>
                <w:sz w:val="24"/>
              </w:rPr>
              <w:t>摄事品第一</w:t>
            </w:r>
          </w:p>
        </w:tc>
        <w:tc>
          <w:tcPr>
            <w:tcW w:w="2096" w:type="dxa"/>
          </w:tcPr>
          <w:p>
            <w:pPr>
              <w:pStyle w:val="TableParagraph"/>
              <w:spacing w:line="278" w:lineRule="exact" w:before="30"/>
              <w:ind w:left="18"/>
              <w:rPr>
                <w:sz w:val="24"/>
              </w:rPr>
            </w:pPr>
            <w:r>
              <w:rPr>
                <w:color w:val="993300"/>
                <w:sz w:val="24"/>
              </w:rPr>
              <w:t>摄净义品第二</w:t>
            </w:r>
          </w:p>
        </w:tc>
        <w:tc>
          <w:tcPr>
            <w:tcW w:w="2562" w:type="dxa"/>
            <w:tcBorders>
              <w:right w:val="single" w:sz="8" w:space="0" w:color="000000"/>
            </w:tcBorders>
          </w:tcPr>
          <w:p>
            <w:pPr>
              <w:pStyle w:val="TableParagraph"/>
              <w:spacing w:line="278" w:lineRule="exact" w:before="30"/>
              <w:ind w:left="170"/>
              <w:rPr>
                <w:sz w:val="24"/>
              </w:rPr>
            </w:pPr>
            <w:r>
              <w:rPr>
                <w:color w:val="993300"/>
                <w:sz w:val="24"/>
              </w:rPr>
              <w:t>成善巧品第三</w:t>
            </w:r>
          </w:p>
        </w:tc>
      </w:tr>
      <w:tr>
        <w:trPr>
          <w:trHeight w:val="272" w:hRule="atLeast"/>
        </w:trPr>
        <w:tc>
          <w:tcPr>
            <w:tcW w:w="6123" w:type="dxa"/>
            <w:tcBorders>
              <w:left w:val="single" w:sz="8" w:space="0" w:color="000000"/>
            </w:tcBorders>
          </w:tcPr>
          <w:p>
            <w:pPr>
              <w:pStyle w:val="TableParagraph"/>
              <w:spacing w:line="252" w:lineRule="exact"/>
              <w:ind w:left="3884"/>
              <w:rPr>
                <w:sz w:val="24"/>
              </w:rPr>
            </w:pPr>
            <w:r>
              <w:rPr>
                <w:color w:val="993300"/>
                <w:sz w:val="24"/>
              </w:rPr>
              <w:t>成无常品第四</w:t>
            </w:r>
          </w:p>
        </w:tc>
        <w:tc>
          <w:tcPr>
            <w:tcW w:w="2096" w:type="dxa"/>
          </w:tcPr>
          <w:p>
            <w:pPr>
              <w:pStyle w:val="TableParagraph"/>
              <w:spacing w:line="252" w:lineRule="exact"/>
              <w:ind w:left="18"/>
              <w:rPr>
                <w:sz w:val="24"/>
              </w:rPr>
            </w:pPr>
            <w:r>
              <w:rPr>
                <w:color w:val="993300"/>
                <w:sz w:val="24"/>
              </w:rPr>
              <w:t>成苦品第五</w:t>
            </w:r>
          </w:p>
        </w:tc>
        <w:tc>
          <w:tcPr>
            <w:tcW w:w="2562" w:type="dxa"/>
            <w:tcBorders>
              <w:right w:val="single" w:sz="8" w:space="0" w:color="000000"/>
            </w:tcBorders>
          </w:tcPr>
          <w:p>
            <w:pPr>
              <w:pStyle w:val="TableParagraph"/>
              <w:spacing w:line="252" w:lineRule="exact"/>
              <w:ind w:left="170"/>
              <w:rPr>
                <w:sz w:val="24"/>
              </w:rPr>
            </w:pPr>
            <w:r>
              <w:rPr>
                <w:color w:val="993300"/>
                <w:sz w:val="24"/>
              </w:rPr>
              <w:t>成空品第六</w:t>
            </w:r>
          </w:p>
        </w:tc>
      </w:tr>
      <w:tr>
        <w:trPr>
          <w:trHeight w:val="272" w:hRule="atLeast"/>
        </w:trPr>
        <w:tc>
          <w:tcPr>
            <w:tcW w:w="6123" w:type="dxa"/>
            <w:tcBorders>
              <w:left w:val="single" w:sz="8" w:space="0" w:color="000000"/>
            </w:tcBorders>
          </w:tcPr>
          <w:p>
            <w:pPr>
              <w:pStyle w:val="TableParagraph"/>
              <w:spacing w:line="252" w:lineRule="exact"/>
              <w:ind w:left="3884"/>
              <w:rPr>
                <w:sz w:val="24"/>
              </w:rPr>
            </w:pPr>
            <w:r>
              <w:rPr>
                <w:color w:val="993300"/>
                <w:sz w:val="24"/>
              </w:rPr>
              <w:t>成无性品第七</w:t>
            </w:r>
          </w:p>
        </w:tc>
        <w:tc>
          <w:tcPr>
            <w:tcW w:w="2096" w:type="dxa"/>
          </w:tcPr>
          <w:p>
            <w:pPr>
              <w:pStyle w:val="TableParagraph"/>
              <w:spacing w:line="252" w:lineRule="exact"/>
              <w:ind w:left="18"/>
              <w:rPr>
                <w:sz w:val="24"/>
              </w:rPr>
            </w:pPr>
            <w:r>
              <w:rPr>
                <w:color w:val="993300"/>
                <w:sz w:val="24"/>
              </w:rPr>
              <w:t>成现观品第八</w:t>
            </w:r>
          </w:p>
        </w:tc>
        <w:tc>
          <w:tcPr>
            <w:tcW w:w="2562" w:type="dxa"/>
            <w:tcBorders>
              <w:right w:val="single" w:sz="8" w:space="0" w:color="000000"/>
            </w:tcBorders>
          </w:tcPr>
          <w:p>
            <w:pPr>
              <w:pStyle w:val="TableParagraph"/>
              <w:spacing w:line="252" w:lineRule="exact"/>
              <w:ind w:left="170"/>
              <w:rPr>
                <w:sz w:val="24"/>
              </w:rPr>
            </w:pPr>
            <w:r>
              <w:rPr>
                <w:color w:val="993300"/>
                <w:sz w:val="24"/>
              </w:rPr>
              <w:t>成瑜伽品第九</w:t>
            </w:r>
          </w:p>
        </w:tc>
      </w:tr>
      <w:tr>
        <w:trPr>
          <w:trHeight w:val="380" w:hRule="atLeast"/>
        </w:trPr>
        <w:tc>
          <w:tcPr>
            <w:tcW w:w="6123" w:type="dxa"/>
            <w:tcBorders>
              <w:left w:val="single" w:sz="8" w:space="0" w:color="000000"/>
              <w:bottom w:val="single" w:sz="8" w:space="0" w:color="000000"/>
            </w:tcBorders>
          </w:tcPr>
          <w:p>
            <w:pPr>
              <w:pStyle w:val="TableParagraph"/>
              <w:spacing w:line="282" w:lineRule="exact"/>
              <w:ind w:left="3884"/>
              <w:rPr>
                <w:sz w:val="24"/>
              </w:rPr>
            </w:pPr>
            <w:r>
              <w:rPr>
                <w:color w:val="993300"/>
                <w:sz w:val="24"/>
              </w:rPr>
              <w:t>成不思议品第十</w:t>
            </w:r>
          </w:p>
        </w:tc>
        <w:tc>
          <w:tcPr>
            <w:tcW w:w="2096" w:type="dxa"/>
            <w:tcBorders>
              <w:bottom w:val="single" w:sz="8" w:space="0" w:color="000000"/>
            </w:tcBorders>
          </w:tcPr>
          <w:p>
            <w:pPr>
              <w:pStyle w:val="TableParagraph"/>
              <w:spacing w:line="282" w:lineRule="exact"/>
              <w:ind w:left="18"/>
              <w:rPr>
                <w:sz w:val="24"/>
              </w:rPr>
            </w:pPr>
            <w:r>
              <w:rPr>
                <w:color w:val="993300"/>
                <w:sz w:val="24"/>
              </w:rPr>
              <w:t>摄胜决择品第十一</w:t>
            </w: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11802" w:hRule="atLeast"/>
        </w:trPr>
        <w:tc>
          <w:tcPr>
            <w:tcW w:w="10781" w:type="dxa"/>
            <w:gridSpan w:val="3"/>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668" w:right="4648"/>
              <w:jc w:val="center"/>
              <w:rPr>
                <w:sz w:val="24"/>
              </w:rPr>
            </w:pPr>
            <w:r>
              <w:rPr>
                <w:color w:val="FF3300"/>
                <w:sz w:val="24"/>
              </w:rPr>
              <w:t>显扬圣教论颂</w:t>
            </w:r>
            <w:r>
              <w:rPr>
                <w:color w:val="993300"/>
                <w:sz w:val="24"/>
              </w:rPr>
              <w:t>摄事品第一</w:t>
            </w:r>
          </w:p>
          <w:p>
            <w:pPr>
              <w:pStyle w:val="TableParagraph"/>
              <w:spacing w:line="362" w:lineRule="auto" w:before="195"/>
              <w:ind w:left="808" w:right="6106"/>
              <w:jc w:val="both"/>
              <w:rPr>
                <w:sz w:val="24"/>
              </w:rPr>
            </w:pPr>
            <w:r>
              <w:rPr>
                <w:spacing w:val="-1"/>
                <w:sz w:val="24"/>
              </w:rPr>
              <w:t>善逝善说妙三身   无畏无流证教法上乘真实牟尼子   我今至诚先赞礼稽首次敬大慈尊   将绍种智法王位无依世间所归趣   宣说瑜伽师地者昔我无著从彼闻   今当错综地中要显扬圣教慈悲故   文约义周而易晓摄事净义成善巧   无常苦空与无性现观瑜伽不思议   摄胜决择十一品</w:t>
            </w:r>
            <w:r>
              <w:rPr>
                <w:sz w:val="24"/>
              </w:rPr>
              <w:t>一切界杂染 谛依止觉分</w:t>
            </w:r>
          </w:p>
          <w:p>
            <w:pPr>
              <w:pStyle w:val="TableParagraph"/>
              <w:spacing w:line="362" w:lineRule="auto" w:before="2"/>
              <w:ind w:left="808" w:right="7067"/>
              <w:jc w:val="both"/>
              <w:rPr>
                <w:sz w:val="24"/>
              </w:rPr>
            </w:pPr>
            <w:r>
              <w:rPr>
                <w:spacing w:val="-2"/>
                <w:sz w:val="24"/>
              </w:rPr>
              <w:t>补特伽罗果   诸功德九事心心所有色   不相应无为界谓欲色等   及与三千界烦恼业生性   杂染相应知诸谛有六种   依止八与二觉分有众多   最初三十七智与解脱门   行迹及止观居处及所依   发心与悲愍诸行通达性   地波罗蜜多菩萨行摄事   及彼陀罗尼三摩地等门   诸无量作意真如作意相   信解不思议</w:t>
            </w:r>
            <w:r>
              <w:rPr>
                <w:spacing w:val="-1"/>
                <w:sz w:val="24"/>
              </w:rPr>
              <w:t>广大阿世耶    应知诸自数</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0"/>
        <w:ind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随信行等七   复八种应知及极七反等   退法等有六软根等七种   在俗及出家声闻乘等三   可救不可救入方便等九   生差别故二复由诸界别   应知十三种果断有五种   遍知及清净净果界菩提   无学由自数断多因故断   建立断所从由作意依修   及得断次第断差别应知   及断相利益如是如所说   复应知多种无量诸解脱   胜处与遍处无诤妙愿智   无碍解神通诸相好清净   及诸力无畏不护与念住   永断诸习气无忘失妙法   及如来大悲佛不共德法   一切种妙智当知前九事   初为二所依次二后六种   摄杂染清净染依差别故   清净所缘故心不流散故   正修方便故彼位差别故   言说等因故彼果故德故   数次第唯尔欲思量无量   诸问答差别由诸佛语言   事与相摄故句迷惑戏论   住真实净妙寂静性道理   假施设现观方所位分别   作执持增减闇语所觉上   远离转藏护简择与现行 睡眠及相属</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诸相摄相应   说任持次第所作境瑜伽   奢摩他与观诸作意教授   德菩提圣教若欲正修行   遍知等功德由十种法行 及六种理趣</w:t>
      </w:r>
    </w:p>
    <w:p>
      <w:pPr>
        <w:pStyle w:val="BodyText"/>
        <w:spacing w:before="8"/>
        <w:ind w:left="0"/>
        <w:rPr>
          <w:sz w:val="8"/>
        </w:rPr>
      </w:pPr>
    </w:p>
    <w:p>
      <w:pPr>
        <w:pStyle w:val="BodyText"/>
        <w:spacing w:before="67"/>
        <w:ind w:left="4531" w:right="4528"/>
        <w:jc w:val="center"/>
      </w:pPr>
      <w:r>
        <w:rPr>
          <w:color w:val="993300"/>
        </w:rPr>
        <w:t>摄净义品第二</w:t>
      </w:r>
    </w:p>
    <w:p>
      <w:pPr>
        <w:pStyle w:val="BodyText"/>
        <w:ind w:left="0"/>
        <w:rPr>
          <w:sz w:val="19"/>
        </w:rPr>
      </w:pPr>
    </w:p>
    <w:p>
      <w:pPr>
        <w:pStyle w:val="BodyText"/>
        <w:spacing w:line="362" w:lineRule="auto" w:before="67"/>
        <w:ind w:right="7204"/>
        <w:jc w:val="both"/>
      </w:pPr>
      <w:r>
        <w:rPr/>
        <w:t>诸论中胜论   亦善入瑜伽清净义应知   由具四净德摄一切义故   彼外不坏故易入故入已   行不失坏故诸佛说妙法   正依于二谛一者名世俗   二者名胜义初说我法用   为随余故说七种及四种   真如名胜义自性义建立   数次第善巧想差别应知   显蕴世俗义五三法真实   彼复四应知及四种寻思   四种如实智三自性成立   差别业隐密方便摄别异   是各有多种闻十二分教   三最胜归依三学三菩提   为有情净说闻归学菩提   六三十二五随名数次第   如应广分别圣行无上乘   大菩提功德异论论法释   应知各多种殊特非殊特   平等心利益报恩与欣赞   不虚方便行不颠倒方便   退堕与胜进相似实功德 善调伏有情</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诸菩萨受记   堕于决定数定作常应作   最胜法应知诸施设建立   一切法寻思及如实遍智   并及诸无量宣说果利益   大乘性与摄菩萨十应知   建立诸名号执因中有果   显了有去来我常宿作因   自在等害法边无边矫乱   见无因断空计胜净吉祥   名十六异论功能无体性   摄不摄相违有用及无用   为因成大过论体论处所   论据论庄严论负论出离   论多所作法体释文义法   起义难次师说众听赞佛   略广学胜利诸地相作意   依处德非德所对治能治 略广义应知</w:t>
      </w:r>
    </w:p>
    <w:p>
      <w:pPr>
        <w:pStyle w:val="BodyText"/>
        <w:spacing w:before="3"/>
        <w:ind w:left="0"/>
        <w:rPr>
          <w:sz w:val="8"/>
        </w:rPr>
      </w:pPr>
    </w:p>
    <w:p>
      <w:pPr>
        <w:pStyle w:val="BodyText"/>
        <w:spacing w:before="66"/>
        <w:ind w:left="4531" w:right="4528"/>
        <w:jc w:val="center"/>
      </w:pPr>
      <w:r>
        <w:rPr>
          <w:color w:val="993300"/>
        </w:rPr>
        <w:t>成善巧品第三</w:t>
      </w:r>
    </w:p>
    <w:p>
      <w:pPr>
        <w:pStyle w:val="BodyText"/>
        <w:ind w:left="0"/>
        <w:rPr>
          <w:sz w:val="19"/>
        </w:rPr>
      </w:pPr>
    </w:p>
    <w:p>
      <w:pPr>
        <w:pStyle w:val="BodyText"/>
        <w:spacing w:line="362" w:lineRule="auto" w:before="67"/>
        <w:ind w:right="7204"/>
        <w:jc w:val="both"/>
      </w:pPr>
      <w:r>
        <w:rPr/>
        <w:t>于诸蕴界处   及众缘起法处非处根谛   善巧事应知身者自在等   无因身者住流转作诸业   及增上二种于身者等起   实我所住持流转者作者   及诸增上义染污若清净   起七种愚痴对治此应知   摄七种善巧妄计我身者   依止诸根住于境界回转   受用爱非爱言说所依住 作者有觉者</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由于差别蕴   总见一身者迷惑初因故   计常因无因我住持诸根   能触及能受从此死生处   计有流转者法非法作者   及彼果增上于修习邪行   计为染污者于修习正行   妄计解脱者佛未出于世   如是愚痴转由佛现世间   说七种善巧知世等别故   能除一合想即离与解脱   众生不可得多种及总略   共有差别转增益损减智   蕴善巧应知见三因生故   说名界善巧从无始自种   多种种生起由此及于此   取者不可得依自智成故   能除下劣性知诸触诸受   由二种生门依止于触故   当知处善巧知法处天处   后后所依止由世俗谛故   了知二种性知未断无常   因能生诸果自相续相似   名缘起善巧众生不可得   而有舍续者由了达甚深   四种缘起故不作不趣得   二余体不转净见无余业   非我自在二如是智能知   处非处善巧于自果定处   异此说非处于能取生住   及染污清净无理我观余 于彼果增上</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于如是方便   名为根善巧谓于取生住   染净增上故二自性苦故   合故不应理由无因有因   及五种譬喻如是随觉故   应知谛善巧随觉未曾见   未受义因缘当知诸善巧   差别二十三异摄论为先 后最极清净</w:t>
      </w:r>
    </w:p>
    <w:p>
      <w:pPr>
        <w:pStyle w:val="BodyText"/>
        <w:spacing w:before="1"/>
        <w:ind w:left="0"/>
        <w:rPr>
          <w:sz w:val="8"/>
        </w:rPr>
      </w:pPr>
    </w:p>
    <w:p>
      <w:pPr>
        <w:pStyle w:val="BodyText"/>
        <w:spacing w:before="66"/>
        <w:ind w:left="4531" w:right="4528"/>
        <w:jc w:val="center"/>
      </w:pPr>
      <w:r>
        <w:rPr>
          <w:color w:val="993300"/>
        </w:rPr>
        <w:t>成无常品第四</w:t>
      </w:r>
    </w:p>
    <w:p>
      <w:pPr>
        <w:pStyle w:val="BodyText"/>
        <w:spacing w:before="8"/>
        <w:ind w:left="0"/>
        <w:rPr>
          <w:sz w:val="19"/>
        </w:rPr>
      </w:pPr>
    </w:p>
    <w:p>
      <w:pPr>
        <w:pStyle w:val="BodyText"/>
        <w:spacing w:line="362" w:lineRule="auto" w:before="66"/>
        <w:ind w:right="7204"/>
        <w:jc w:val="both"/>
      </w:pPr>
      <w:r>
        <w:rPr/>
        <w:t>无常谓有为   三相相应故无常义如应   六八种应知无性坏转异   别离得当有刹那续病等   心器受用故变异应当知   十五种差别所谓分位等   八缘所逼故下界具一切   中界离三门具三种变异   上界复除器无性义无常   遍计之所执所余无常义   依他起应知诸无常皆苦   众苦所杂故迷法性愚夫   得为害不觉由彼心果故   生已自然灭后变异可得   念念灭应知心熏习增上   定转变自在影像生道理   及三种圣教生因相违故   无住灭两因自然住常过   当知任运灭非水火风灭   以俱起灭故彼相应灭已   余变异生因相违相续断 二相成无相</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违世间现见   无法及余因非身乳林等   先无有变异亦非初不坏   最后时方灭位思烦恼分   非常变异故此若无变异   受作脱非理功能无有故   摄不摄相违有用及无用   为因成过失自性变异相   有无不应理无差别无常   有差别五失无相亦无因   非自性恒异先无有变异   我应常解脱常造不应理   由二三因故财有情增上   极微非常住无常为彼依   次第差别转诸受等异故   当知觉无常于无常无智   四颠倒根本当知世上道   愚痴力转增由放逸懈怠   见昧乏资粮恶友非正法   当知无智因不如理作意   忆念前际等相似相续转   于无常计常生初后中间   取三有为相无常调伏智   当知由二因彼见有六种   及缘起四种自种故非他   待缘故非自无作故非共 用故非无因</w:t>
      </w:r>
    </w:p>
    <w:p>
      <w:pPr>
        <w:pStyle w:val="BodyText"/>
        <w:spacing w:before="4"/>
        <w:ind w:left="0"/>
        <w:rPr>
          <w:sz w:val="8"/>
        </w:rPr>
      </w:pPr>
    </w:p>
    <w:p>
      <w:pPr>
        <w:pStyle w:val="BodyText"/>
        <w:spacing w:before="67"/>
        <w:ind w:left="4531" w:right="4528"/>
        <w:jc w:val="center"/>
      </w:pPr>
      <w:r>
        <w:rPr>
          <w:color w:val="993300"/>
        </w:rPr>
        <w:t>成苦品第五</w:t>
      </w:r>
    </w:p>
    <w:p>
      <w:pPr>
        <w:pStyle w:val="BodyText"/>
        <w:ind w:left="0"/>
        <w:rPr>
          <w:sz w:val="19"/>
        </w:rPr>
      </w:pPr>
    </w:p>
    <w:p>
      <w:pPr>
        <w:pStyle w:val="BodyText"/>
        <w:spacing w:line="362" w:lineRule="auto" w:before="66"/>
        <w:ind w:right="7204"/>
        <w:jc w:val="both"/>
      </w:pPr>
      <w:r>
        <w:rPr/>
        <w:t>生为欲离因   灭生和合欲倒无倒厌离   彼因为苦相依三受差别 建立三苦相</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故说一切受   体性皆是苦当知行性苦   皆粗重随故乐舍不应理   同无解脱过利深等障碍   依进住乘空执着性下劣   颠倒及染污如痈疥癞等   三受之所依彼能发三触   取乐等随转自相自分别   不安隐苦性五十五应知   三苦之所摄界缘身等趣   种类谛三世时命品异故   引众苦差别未离欲色等   三种地应知欲界一切种   色无色除二世俗有二种   胜义谓遍行二缘通上地   当知无现染非无色重担   遍行天粗重及谛最后边   余七上随缚当知生等苦   各五种差别苦粗重相应   三苦所依止最后与最后   各四苦所依谓生生根本   及苦性变坏三世之所摄   二缘苦非上所说余诸苦   皆欲界应知失念无功用   乱不正思惟不正了愚痴   及由放逸等昧故羸劣故   及起放逸故相续断绝故   忘念转应知昧故放逸故   保重现法故不信当苦故   无功用发起相似相续转   对治妄分别串习总取故 起四种颠倒</w:t>
      </w:r>
    </w:p>
    <w:p>
      <w:pPr>
        <w:spacing w:after="0" w:line="362"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界别缘起别   位别次第别及相续差别   当知各多种信解与思择   不乱心厌离见修及究竟   又如前十一缠疑不乐离   沉恶趣余趣下劣行所起 遍独众苦尽</w:t>
      </w:r>
    </w:p>
    <w:p>
      <w:pPr>
        <w:pStyle w:val="BodyText"/>
        <w:spacing w:before="0"/>
        <w:ind w:left="0"/>
        <w:rPr>
          <w:sz w:val="8"/>
        </w:rPr>
      </w:pPr>
    </w:p>
    <w:p>
      <w:pPr>
        <w:pStyle w:val="BodyText"/>
        <w:spacing w:before="67"/>
        <w:ind w:left="4531" w:right="4528"/>
        <w:jc w:val="center"/>
      </w:pPr>
      <w:r>
        <w:rPr>
          <w:color w:val="993300"/>
        </w:rPr>
        <w:t>成空品第六</w:t>
      </w:r>
    </w:p>
    <w:p>
      <w:pPr>
        <w:pStyle w:val="BodyText"/>
        <w:ind w:left="0"/>
        <w:rPr>
          <w:sz w:val="19"/>
        </w:rPr>
      </w:pPr>
    </w:p>
    <w:p>
      <w:pPr>
        <w:pStyle w:val="BodyText"/>
        <w:spacing w:line="362" w:lineRule="auto" w:before="67"/>
        <w:ind w:right="7204"/>
        <w:jc w:val="both"/>
      </w:pPr>
      <w:r>
        <w:rPr/>
        <w:t>若于此无有   及此余所有随二种道理   说空相无二甚深相应知   取舍无增减差别有众多   如彼彼宣说唯假过失故   蕴无我过故我无身过故   三我不应理如主火明空   形异依他过无常无业用   非因非有我我唯应是假   譬喻不可得七喻妄分别   无见者等三若如种无常   作者应成假如成就神通   应世俗自在我如地如空   应无常无性应如二无作   分明业可得能烧及能断   唯火等所作我于见等具   非如刀火等如光能照用   离光无异体是故于内外   空无我义成如世间外物   离我有损益内虽无实我   染净义应成位思烦恼分   无常变异故我常无转易   受作脱应无法性从缘生 展转现相续</w:t>
      </w:r>
    </w:p>
    <w:p>
      <w:pPr>
        <w:spacing w:after="0" w:line="362"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有因而不住   变异故名转如身牙河灯   有种种作用我常无变异   转还不应理依我起名想   见二种过失是故遍一切   实我性都无为言说易故   随顺世间故断除怖畏故   显得失二故率尔觉乱起   世间现可得觉为先作业   有十种过失觉我因功用   自在等各二有因及无因   当知十种过不审决遍行   增益及无事于事怖妄见   譬喻五应知无体及远离   除遣依三种对治诸缚想   十六种差别自性与执着   不开解失念一切遍一分   愚差别流转法住求自心   住自心除缚怖无二染净   证得真空理修差别十八   或有毒无毒对治五种执   略二种应知修果应当知   三菩提功德依止转依性 所作事成就</w:t>
      </w:r>
    </w:p>
    <w:p>
      <w:pPr>
        <w:pStyle w:val="BodyText"/>
        <w:spacing w:before="4"/>
        <w:ind w:left="0"/>
        <w:rPr>
          <w:sz w:val="8"/>
        </w:rPr>
      </w:pPr>
    </w:p>
    <w:p>
      <w:pPr>
        <w:pStyle w:val="BodyText"/>
        <w:spacing w:before="67"/>
        <w:ind w:left="4531" w:right="4528"/>
        <w:jc w:val="center"/>
      </w:pPr>
      <w:r>
        <w:rPr>
          <w:color w:val="993300"/>
        </w:rPr>
        <w:t>成无性品第七</w:t>
      </w:r>
    </w:p>
    <w:p>
      <w:pPr>
        <w:pStyle w:val="BodyText"/>
        <w:ind w:left="0"/>
        <w:rPr>
          <w:sz w:val="19"/>
        </w:rPr>
      </w:pPr>
    </w:p>
    <w:p>
      <w:pPr>
        <w:pStyle w:val="BodyText"/>
        <w:spacing w:line="362" w:lineRule="auto" w:before="67"/>
        <w:ind w:right="7204"/>
        <w:jc w:val="both"/>
      </w:pPr>
      <w:r>
        <w:rPr/>
        <w:t>三自性应知   初遍计所执次依他起性   最后圆成实三无性应知   不离三自性由相无生无   及胜义无性非五事所摄   此外更无有由名于义转 二更互为客</w:t>
      </w:r>
    </w:p>
    <w:p>
      <w:pPr>
        <w:spacing w:after="0" w:line="362" w:lineRule="auto"/>
        <w:jc w:val="both"/>
        <w:sectPr>
          <w:pgSz w:w="12240" w:h="15840"/>
          <w:pgMar w:top="580" w:bottom="280" w:left="580" w:right="640"/>
        </w:sectPr>
      </w:pPr>
    </w:p>
    <w:p>
      <w:pPr>
        <w:pStyle w:val="BodyText"/>
        <w:spacing w:line="362" w:lineRule="auto" w:before="94"/>
        <w:ind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于名前觉无   多名及不定于有义无义   转非理义成取己立名故   余即不能取如众生邪执   增益为颠倒由熏起依他   依此生颠倒如是互为缘   展转生相续自性与差别   有觉悟随眠加行名遍计   又当知五种分别有八种   能生于三事分别体应知   三界心心法由二缚所缚   坚执二自性故二缚解脱   正无得无见假有所依因   若异坏二种杂染可得故   当知依他起相粗重为体   此更互缘生非自然是有   故说生无性非决定有无   一切种皆许通假实二性   世俗说为有宣说我法用   皆名为世俗当知胜义谛   谓七种真如圆成实自性   二最胜智义无有诸戏论   远离一异性清净之所缘   常无有变异善性及乐性   一切皆成就实胜义无性   戏论我无故依他无彼相   亦胜义无性依三相应知   建立五种相彼如其所应   别别有五业法执故愚夫   起彼众生执彼除觉法性   觉法我执断于依他执初 熏习成杂染</w:t>
      </w:r>
    </w:p>
    <w:p>
      <w:pPr>
        <w:spacing w:after="0" w:line="362" w:lineRule="auto"/>
        <w:jc w:val="both"/>
        <w:sectPr>
          <w:pgSz w:w="12240" w:h="15840"/>
          <w:pgMar w:top="580" w:bottom="280" w:left="580" w:right="640"/>
        </w:sectPr>
      </w:pPr>
    </w:p>
    <w:p>
      <w:pPr>
        <w:pStyle w:val="BodyText"/>
        <w:spacing w:line="362" w:lineRule="auto" w:before="95"/>
        <w:ind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无执圆成实   熏习成清净杂染有漏性   清净则无漏此当知转依   不思议二种真实及自体   寂静与功德一切不思议   当知由四道声闻有二种   趣寂趣菩提依止变化身   趣无上正觉诸声闻转依   厌背修所得菩萨方便修   无二智依止不住生灭故   诸佛智无上利乐诸有情 不思议无二</w:t>
      </w:r>
    </w:p>
    <w:p>
      <w:pPr>
        <w:pStyle w:val="BodyText"/>
        <w:spacing w:before="1"/>
        <w:ind w:left="0"/>
        <w:rPr>
          <w:sz w:val="8"/>
        </w:rPr>
      </w:pPr>
    </w:p>
    <w:p>
      <w:pPr>
        <w:pStyle w:val="BodyText"/>
        <w:spacing w:before="67"/>
        <w:ind w:left="4531" w:right="4528"/>
        <w:jc w:val="center"/>
      </w:pPr>
      <w:r>
        <w:rPr>
          <w:color w:val="993300"/>
        </w:rPr>
        <w:t>成现观品第八</w:t>
      </w:r>
    </w:p>
    <w:p>
      <w:pPr>
        <w:pStyle w:val="BodyText"/>
        <w:ind w:left="0"/>
        <w:rPr>
          <w:sz w:val="19"/>
        </w:rPr>
      </w:pPr>
    </w:p>
    <w:p>
      <w:pPr>
        <w:pStyle w:val="BodyText"/>
        <w:spacing w:line="362" w:lineRule="auto" w:before="67"/>
        <w:ind w:right="7204"/>
        <w:jc w:val="both"/>
      </w:pPr>
      <w:r>
        <w:rPr/>
        <w:t>当知现所观   下中上品事有漏及无漏   未见未受遍出世间胜智   能除见所断无分别证得   唯依止静虑极戚非恶趣   极欣非上二处欲界人天   佛出世现观未离欲倍离   及已离欲者独一证正觉   最胜我所生非我为智因   亦非自取境我非自现观   执爱自我故无常有境界   待缘智生起断粗重等三   故依心现观已成熟相续   或听闻正法自然极如理   作意故现观系念于所缘   精勤修静定增上善根力   证圣觉道分从是入见道   无漏正见起永断于三结 证现观应知</w:t>
      </w:r>
    </w:p>
    <w:p>
      <w:pPr>
        <w:spacing w:after="0" w:line="362" w:lineRule="auto"/>
        <w:jc w:val="both"/>
        <w:sectPr>
          <w:pgSz w:w="12240" w:h="15840"/>
          <w:pgMar w:top="580" w:bottom="280" w:left="580" w:right="640"/>
        </w:sectPr>
      </w:pPr>
    </w:p>
    <w:p>
      <w:pPr>
        <w:pStyle w:val="BodyText"/>
        <w:spacing w:line="362" w:lineRule="auto" w:before="95"/>
        <w:ind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虽恶趣杂染   计所起惑断境见导师等   随生三所摄由先世间智   简择谛究竟于谛无加行   决定生起相智境和合相   于所知究竟当知谛现观   于十种决定我性无三有   不灭无有二无分别无怖   自断中决定发起证等流   成满次第四又法住智等   次第八应知无悔住所缘   如实见境界道所依无惑   纯差别行断三净摄应知   戒净及心净境界依止道   说为慧清净知身等因缘   善达于三世次了知四苦   复八苦应知从是正观谛   起十六行智为治四颠倒   后后之所依从是转修习   于心总厌离谛简择决定   究竟觉生起从此无加行   解脱智三心一百一十二   烦恼断十摄此证菩提分   六种净智相行无分别故   随所作建立菩萨在此位   先修胜因力于自他身苦   起平等心性是大我意乐   于自性无得广意乐当知   二性无分别次上十六行   清净世间智对治界地故   究竟事成就此现观差别 或六或十八</w:t>
      </w:r>
    </w:p>
    <w:p>
      <w:pPr>
        <w:spacing w:after="0" w:line="362" w:lineRule="auto"/>
        <w:jc w:val="both"/>
        <w:sectPr>
          <w:pgSz w:w="12240" w:h="15840"/>
          <w:pgMar w:top="580" w:bottom="280" w:left="580" w:right="640"/>
        </w:sectPr>
      </w:pPr>
    </w:p>
    <w:p>
      <w:pPr>
        <w:pStyle w:val="BodyText"/>
        <w:ind w:left="0"/>
        <w:rPr>
          <w:rFonts w:ascii="Times New Roman"/>
          <w:sz w:val="10"/>
        </w:rPr>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71"/>
        <w:gridCol w:w="2161"/>
      </w:tblGrid>
      <w:tr>
        <w:trPr>
          <w:trHeight w:val="440" w:hRule="atLeast"/>
        </w:trPr>
        <w:tc>
          <w:tcPr>
            <w:tcW w:w="1492" w:type="dxa"/>
          </w:tcPr>
          <w:p>
            <w:pPr>
              <w:pStyle w:val="TableParagraph"/>
              <w:spacing w:line="274" w:lineRule="exact"/>
              <w:ind w:left="50"/>
              <w:rPr>
                <w:sz w:val="24"/>
              </w:rPr>
            </w:pPr>
            <w:r>
              <w:rPr>
                <w:sz w:val="24"/>
              </w:rPr>
              <w:t>相胜利众多</w:t>
            </w:r>
          </w:p>
        </w:tc>
        <w:tc>
          <w:tcPr>
            <w:tcW w:w="1871" w:type="dxa"/>
          </w:tcPr>
          <w:p>
            <w:pPr>
              <w:pStyle w:val="TableParagraph"/>
              <w:spacing w:line="274" w:lineRule="exact"/>
              <w:ind w:left="239"/>
              <w:rPr>
                <w:sz w:val="24"/>
              </w:rPr>
            </w:pPr>
            <w:r>
              <w:rPr>
                <w:sz w:val="24"/>
              </w:rPr>
              <w:t>随经论广说</w:t>
            </w:r>
          </w:p>
        </w:tc>
        <w:tc>
          <w:tcPr>
            <w:tcW w:w="2161" w:type="dxa"/>
          </w:tcPr>
          <w:p>
            <w:pPr>
              <w:pStyle w:val="TableParagraph"/>
              <w:rPr>
                <w:rFonts w:ascii="Times New Roman"/>
                <w:sz w:val="24"/>
              </w:rPr>
            </w:pPr>
          </w:p>
        </w:tc>
      </w:tr>
      <w:tr>
        <w:trPr>
          <w:trHeight w:val="632" w:hRule="atLeast"/>
        </w:trPr>
        <w:tc>
          <w:tcPr>
            <w:tcW w:w="1492" w:type="dxa"/>
          </w:tcPr>
          <w:p>
            <w:pPr>
              <w:pStyle w:val="TableParagraph"/>
              <w:rPr>
                <w:rFonts w:ascii="Times New Roman"/>
                <w:sz w:val="24"/>
              </w:rPr>
            </w:pPr>
          </w:p>
        </w:tc>
        <w:tc>
          <w:tcPr>
            <w:tcW w:w="1871" w:type="dxa"/>
          </w:tcPr>
          <w:p>
            <w:pPr>
              <w:pStyle w:val="TableParagraph"/>
              <w:rPr>
                <w:rFonts w:ascii="Times New Roman"/>
                <w:sz w:val="24"/>
              </w:rPr>
            </w:pPr>
          </w:p>
        </w:tc>
        <w:tc>
          <w:tcPr>
            <w:tcW w:w="2161" w:type="dxa"/>
          </w:tcPr>
          <w:p>
            <w:pPr>
              <w:pStyle w:val="TableParagraph"/>
              <w:spacing w:before="166"/>
              <w:ind w:left="408" w:right="33"/>
              <w:jc w:val="center"/>
              <w:rPr>
                <w:sz w:val="24"/>
              </w:rPr>
            </w:pPr>
            <w:r>
              <w:rPr>
                <w:color w:val="993300"/>
                <w:sz w:val="24"/>
              </w:rPr>
              <w:t>成瑜伽品第九</w:t>
            </w:r>
          </w:p>
        </w:tc>
      </w:tr>
      <w:tr>
        <w:trPr>
          <w:trHeight w:val="3884" w:hRule="atLeast"/>
        </w:trPr>
        <w:tc>
          <w:tcPr>
            <w:tcW w:w="1492" w:type="dxa"/>
          </w:tcPr>
          <w:p>
            <w:pPr>
              <w:pStyle w:val="TableParagraph"/>
              <w:spacing w:line="460" w:lineRule="atLeast" w:before="6"/>
              <w:ind w:left="50" w:right="238"/>
              <w:jc w:val="both"/>
              <w:rPr>
                <w:sz w:val="24"/>
              </w:rPr>
            </w:pPr>
            <w:r>
              <w:rPr>
                <w:sz w:val="24"/>
              </w:rPr>
              <w:t>般若度瑜伽一切一切种一切一切种谓名相染净于法及法空无分别无穷若都无所取俱成取离言</w:t>
            </w:r>
          </w:p>
        </w:tc>
        <w:tc>
          <w:tcPr>
            <w:tcW w:w="1871" w:type="dxa"/>
          </w:tcPr>
          <w:p>
            <w:pPr>
              <w:pStyle w:val="TableParagraph"/>
              <w:spacing w:line="460" w:lineRule="atLeast" w:before="6"/>
              <w:ind w:left="239" w:right="427"/>
              <w:jc w:val="both"/>
              <w:rPr>
                <w:sz w:val="24"/>
              </w:rPr>
            </w:pPr>
            <w:r>
              <w:rPr>
                <w:sz w:val="24"/>
              </w:rPr>
              <w:t>等至无分别无有分别故三相与三轮及俱非二种无二种戏论此上非应理无慧亦无度为顺非无用</w:t>
            </w:r>
          </w:p>
        </w:tc>
        <w:tc>
          <w:tcPr>
            <w:tcW w:w="2161" w:type="dxa"/>
          </w:tcPr>
          <w:p>
            <w:pPr>
              <w:pStyle w:val="TableParagraph"/>
              <w:rPr>
                <w:rFonts w:ascii="Times New Roman"/>
                <w:sz w:val="24"/>
              </w:rPr>
            </w:pPr>
          </w:p>
        </w:tc>
      </w:tr>
      <w:tr>
        <w:trPr>
          <w:trHeight w:val="624" w:hRule="atLeast"/>
        </w:trPr>
        <w:tc>
          <w:tcPr>
            <w:tcW w:w="1492" w:type="dxa"/>
          </w:tcPr>
          <w:p>
            <w:pPr>
              <w:pStyle w:val="TableParagraph"/>
              <w:rPr>
                <w:rFonts w:ascii="Times New Roman"/>
                <w:sz w:val="24"/>
              </w:rPr>
            </w:pPr>
          </w:p>
        </w:tc>
        <w:tc>
          <w:tcPr>
            <w:tcW w:w="1871" w:type="dxa"/>
          </w:tcPr>
          <w:p>
            <w:pPr>
              <w:pStyle w:val="TableParagraph"/>
              <w:rPr>
                <w:rFonts w:ascii="Times New Roman"/>
                <w:sz w:val="24"/>
              </w:rPr>
            </w:pPr>
          </w:p>
        </w:tc>
        <w:tc>
          <w:tcPr>
            <w:tcW w:w="2161" w:type="dxa"/>
          </w:tcPr>
          <w:p>
            <w:pPr>
              <w:pStyle w:val="TableParagraph"/>
              <w:spacing w:before="166"/>
              <w:ind w:left="408" w:right="33"/>
              <w:jc w:val="center"/>
              <w:rPr>
                <w:sz w:val="24"/>
              </w:rPr>
            </w:pPr>
            <w:r>
              <w:rPr>
                <w:color w:val="993300"/>
                <w:sz w:val="24"/>
              </w:rPr>
              <w:t>成不思议品第十</w:t>
            </w:r>
          </w:p>
        </w:tc>
      </w:tr>
      <w:tr>
        <w:trPr>
          <w:trHeight w:val="8785" w:hRule="atLeast"/>
        </w:trPr>
        <w:tc>
          <w:tcPr>
            <w:tcW w:w="1492" w:type="dxa"/>
          </w:tcPr>
          <w:p>
            <w:pPr>
              <w:pStyle w:val="TableParagraph"/>
              <w:spacing w:line="464" w:lineRule="exact" w:before="19"/>
              <w:ind w:left="50" w:right="238"/>
              <w:jc w:val="both"/>
              <w:rPr>
                <w:sz w:val="24"/>
              </w:rPr>
            </w:pPr>
            <w:r>
              <w:rPr>
                <w:sz w:val="24"/>
              </w:rPr>
              <w:t>九事不思议有五种因故不应思不记非定一甚深不思我有无于他亦二失二虽不依见不思如是生善趣与恶趣过去善恶业真如无漏性静虑者如来外道所宣说非理远四处非处勤功用不修清净善远离不思议具八种功德诸佛之所说</w:t>
            </w:r>
          </w:p>
        </w:tc>
        <w:tc>
          <w:tcPr>
            <w:tcW w:w="1871" w:type="dxa"/>
          </w:tcPr>
          <w:p>
            <w:pPr>
              <w:pStyle w:val="TableParagraph"/>
              <w:spacing w:line="464" w:lineRule="exact" w:before="19"/>
              <w:ind w:left="239" w:right="427"/>
              <w:jc w:val="both"/>
              <w:rPr>
                <w:sz w:val="24"/>
              </w:rPr>
            </w:pPr>
            <w:r>
              <w:rPr>
                <w:sz w:val="24"/>
              </w:rPr>
              <w:t>由依止五处得失俱三种当知由四因引无义相住成二过失故不应思一异成故不应思三过所随故二作者非定处事等难思成所作义利无譬自在故能引无义利无记不应思毁谤于大我故成三过失思可思议处故如理应思遍知等无违</w:t>
            </w:r>
          </w:p>
        </w:tc>
        <w:tc>
          <w:tcPr>
            <w:tcW w:w="2161" w:type="dxa"/>
          </w:tcPr>
          <w:p>
            <w:pPr>
              <w:pStyle w:val="TableParagraph"/>
              <w:rPr>
                <w:rFonts w:ascii="Times New Roman"/>
                <w:sz w:val="24"/>
              </w:rPr>
            </w:pPr>
          </w:p>
        </w:tc>
      </w:tr>
    </w:tbl>
    <w:p>
      <w:pPr>
        <w:spacing w:after="0"/>
        <w:rPr>
          <w:rFonts w:ascii="Times New Roman"/>
          <w:sz w:val="24"/>
        </w:rPr>
        <w:sectPr>
          <w:pgSz w:w="12240" w:h="15840"/>
          <w:pgMar w:top="580" w:bottom="280" w:left="580" w:right="640"/>
        </w:sectPr>
      </w:pPr>
    </w:p>
    <w:p>
      <w:pPr>
        <w:pStyle w:val="BodyText"/>
        <w:tabs>
          <w:tab w:pos="2612" w:val="left" w:leader="none"/>
        </w:tabs>
        <w:spacing w:before="88"/>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五因二因故</w:t>
        <w:tab/>
        <w:t>于此不应思</w:t>
      </w:r>
    </w:p>
    <w:p>
      <w:pPr>
        <w:pStyle w:val="BodyText"/>
        <w:spacing w:before="11"/>
        <w:ind w:left="0"/>
        <w:rPr>
          <w:sz w:val="20"/>
        </w:rPr>
      </w:pPr>
    </w:p>
    <w:p>
      <w:pPr>
        <w:pStyle w:val="BodyText"/>
        <w:spacing w:before="67"/>
        <w:ind w:left="4531" w:right="4528"/>
        <w:jc w:val="center"/>
      </w:pPr>
      <w:r>
        <w:rPr>
          <w:color w:val="993300"/>
        </w:rPr>
        <w:t>摄胜决择品第十一</w:t>
      </w:r>
    </w:p>
    <w:p>
      <w:pPr>
        <w:pStyle w:val="BodyText"/>
        <w:ind w:left="0"/>
        <w:rPr>
          <w:sz w:val="19"/>
        </w:rPr>
      </w:pPr>
    </w:p>
    <w:p>
      <w:pPr>
        <w:pStyle w:val="BodyText"/>
        <w:spacing w:line="362" w:lineRule="auto" w:before="67"/>
        <w:ind w:right="7204"/>
        <w:jc w:val="both"/>
      </w:pPr>
      <w:r>
        <w:rPr/>
        <w:t>数相别有处   边际与生起想善巧摄等   胜决择诸事心性有二种   异熟及与转初阿赖耶识   种子二应知执受初明了   种子业身受无心定命终   无皆不应理所缘境相应   更互二因性识等俱流转   杂染污还灭所依境界力   建立心差别复由七种行   难了相应知所缘无自在   住恶所依止随缘力所转   心系缚应知散乱及安住   六种十五种缘境界六等   所治心非一依多境了别   各为自业生心法不应思   相似境转故引心三分别   领位审了相得失等营为   名作意等业上界无香味   大造随可得极微无自体   非实有七事微和合不离   善恶无自然三相想外无   法处色十二当知不相应   皆假施设有假有性六种   彼皆二过故三过因非五   因相略系合相依处差别   建立有多种心所缘等故   清净所缘故四种离系故 建立八无为</w:t>
      </w:r>
    </w:p>
    <w:p>
      <w:pPr>
        <w:spacing w:after="0" w:line="362" w:lineRule="auto"/>
        <w:jc w:val="both"/>
        <w:sectPr>
          <w:pgSz w:w="12240" w:h="15840"/>
          <w:pgMar w:top="580" w:bottom="280" w:left="580" w:right="640"/>
        </w:sectPr>
      </w:pPr>
    </w:p>
    <w:p>
      <w:pPr>
        <w:pStyle w:val="BodyText"/>
        <w:spacing w:line="362" w:lineRule="auto" w:before="97"/>
        <w:ind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三界应当知   十二相差别所治及能治   唯能损伏种法王海碱味   欲恶趣长寿多世界共一   各二种因缘意相应四惑   遍行而俱起无记最后灭   随所生彼性一切生相续   现起及与缘随眠境粗重   各差别二十随顺自生故   种子故事故生四过失故   不净三因故业思及思已   差别有十三彼果六三位   业决定五种自业等四种   此先熟亦四复九种当知   即二种差别命终定不定   中夭由六因明了位三心   中有或有无依余有所缘   染污心生起于四种生中   及三界五趣当知世俗谛   意解义及说净所缘彼性   方便名胜义当知是四种   染净之所摄未见未经受   如病病灭因当知是四谛   各四相四行遍知等四种   因果性差别彼觉无乖诤   法尔证亦然谛三种唯善   复二种应知当知七依止   三种所依性彼善巧二种   四句等广说静虑数障分   及彼广建立远离于苦动   后后分胜异近分喜有动 唯初能尽漏</w:t>
      </w:r>
    </w:p>
    <w:p>
      <w:pPr>
        <w:spacing w:after="0" w:line="362" w:lineRule="auto"/>
        <w:jc w:val="both"/>
        <w:sectPr>
          <w:pgSz w:w="12240" w:h="15840"/>
          <w:pgMar w:top="580" w:bottom="280" w:left="580" w:right="640"/>
        </w:sectPr>
      </w:pPr>
    </w:p>
    <w:p>
      <w:pPr>
        <w:pStyle w:val="BodyText"/>
        <w:spacing w:line="362" w:lineRule="auto" w:before="98"/>
        <w:ind w:right="7204"/>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亦二种缘声   八等至舍八现法安乐住   能入于现观赞说想解脱   四种因当知爱味等当知   十种六三种退相续障治   各多种差别利根及生转   当知无有退依下地发定   离欲后生故依二乘大乘   由二十七相正方便当知   建立于觉分身等三差别   彼影像随观由闻等三智   念法无迷惑彼所治九种   作意当知二修差别有三   二种无失坏为断于沉掉   相应道二种观察舍烦恼   及为尽三爱为断增上慢   味所依颠倒及三心趣入   修习于念住由根等差别   建立五唯二假设五应知   三事成圆满证转依不起   二因果无退三因故断常   三果三因记建立诸功德   由十七增上彼差别无边   治所治障故思惟义乐苦   作意及安住艰难与相貌   殊特非殊特种性如来说   多佛与二乘五种及十种   六六种道理诸佛妙功能   彼果土清净解脱与法身   等不思无上虽不用加行   先愿力所引依无为发起 所作无二相</w:t>
      </w:r>
    </w:p>
    <w:p>
      <w:pPr>
        <w:spacing w:after="0" w:line="362" w:lineRule="auto"/>
        <w:jc w:val="both"/>
        <w:sectPr>
          <w:pgSz w:w="12240" w:h="15840"/>
          <w:pgMar w:top="580" w:bottom="280" w:left="580" w:right="640"/>
        </w:sectPr>
      </w:pPr>
    </w:p>
    <w:p>
      <w:pPr>
        <w:pStyle w:val="BodyText"/>
        <w:spacing w:line="362" w:lineRule="auto" w:before="98"/>
        <w:ind w:right="7204"/>
        <w:jc w:val="both"/>
      </w:pPr>
      <w:r>
        <w:rPr/>
        <w:pict>
          <v:line style="position:absolute;mso-position-horizontal-relative:page;mso-position-vertical-relative:paragraph;z-index:251692032" from="574.012451pt,-.039914pt" to="574.012451pt,230.352033pt" stroked="true" strokeweight=".80090pt" strokecolor="#000000">
            <v:stroke dashstyle="solid"/>
            <w10:wrap type="none"/>
          </v:line>
        </w:pict>
      </w:r>
      <w:r>
        <w:rPr/>
        <w:pict>
          <v:line style="position:absolute;mso-position-horizontal-relative:page;mso-position-vertical-relative:paragraph;z-index:251693056" from="35.006748pt,-.039914pt" to="35.006748pt,230.352033pt" stroked="true" strokeweight=".80090pt" strokecolor="#000000">
            <v:stroke dashstyle="solid"/>
            <w10:wrap type="none"/>
          </v:line>
        </w:pict>
      </w:r>
      <w:r>
        <w:rPr/>
        <w:t>宣说诸事法   别解脱分别诸法相十一   是经律本藏诸相与断灭   无失坏方便彼二果差别   是诸经略义略说瑜伽道   缘所闻正法奢摩他与观 依影像成就</w:t>
      </w:r>
    </w:p>
    <w:p>
      <w:pPr>
        <w:pStyle w:val="BodyText"/>
        <w:spacing w:before="8"/>
        <w:ind w:left="0"/>
        <w:rPr>
          <w:sz w:val="25"/>
        </w:rPr>
      </w:pPr>
    </w:p>
    <w:p>
      <w:pPr>
        <w:pStyle w:val="BodyText"/>
        <w:spacing w:before="66"/>
        <w:ind w:left="873"/>
      </w:pPr>
      <w:r>
        <w:rPr/>
        <w:pict>
          <v:shape style="position:absolute;margin-left:62.637798pt;margin-top:10.494346pt;width:3.25pt;height:3.25pt;mso-position-horizontal-relative:page;mso-position-vertical-relative:paragraph;z-index:251694080" coordorigin="1253,210" coordsize="65,65" path="m1285,274l1271,272,1261,266,1255,256,1253,242,1255,228,1261,218,1271,212,1285,210,1299,212,1309,218,1315,228,1317,242,1315,256,1309,266,1299,272,1285,274xm1271,212l1271,212,1271,212,1271,212xm1261,218l1261,218,1261,218,1261,218xe" filled="true" fillcolor="#000000" stroked="false">
            <v:path arrowok="t"/>
            <v:fill type="solid"/>
            <w10:wrap type="none"/>
          </v:shape>
        </w:pict>
      </w:r>
      <w:hyperlink r:id="rId5">
        <w:r>
          <w:rPr>
            <w:color w:val="878787"/>
          </w:rPr>
          <w:t>上一部：乾隆大藏经·大乘论·瑜伽师地论释一卷</w:t>
        </w:r>
      </w:hyperlink>
    </w:p>
    <w:p>
      <w:pPr>
        <w:pStyle w:val="BodyText"/>
        <w:spacing w:before="109"/>
        <w:ind w:left="873"/>
      </w:pPr>
      <w:r>
        <w:rPr/>
        <w:pict>
          <v:shape style="position:absolute;margin-left:62.637798pt;margin-top:12.64432pt;width:3.25pt;height:3.25pt;mso-position-horizontal-relative:page;mso-position-vertical-relative:paragraph;z-index:251695104" coordorigin="1253,253" coordsize="65,65" path="m1285,317l1271,315,1261,309,1255,299,1253,285,1255,271,1261,261,1271,255,1285,253,1299,255,1309,261,1315,271,1317,285,1315,299,1309,309,1299,315,1285,317xm1271,255l1271,255,1271,255,1271,255xm1261,261l1261,261,1261,261,1261,261xe" filled="true" fillcolor="#000000" stroked="false">
            <v:path arrowok="t"/>
            <v:fill type="solid"/>
            <w10:wrap type="none"/>
          </v:shape>
        </w:pict>
      </w:r>
      <w:hyperlink r:id="rId6">
        <w:r>
          <w:rPr>
            <w:color w:val="878787"/>
          </w:rPr>
          <w:t>下一部：乾隆大藏经·大乘论·弥勒菩萨所问经论七卷</w:t>
        </w:r>
      </w:hyperlink>
    </w:p>
    <w:p>
      <w:pPr>
        <w:pStyle w:val="BodyText"/>
        <w:spacing w:before="0"/>
        <w:ind w:left="0"/>
        <w:rPr>
          <w:sz w:val="20"/>
        </w:rPr>
      </w:pPr>
    </w:p>
    <w:p>
      <w:pPr>
        <w:pStyle w:val="BodyText"/>
        <w:spacing w:before="2"/>
        <w:ind w:left="0"/>
      </w:pPr>
      <w:r>
        <w:rPr/>
        <w:pict>
          <v:shapetype id="_x0000_t202" o:spt="202" coordsize="21600,21600" path="m,l,21600r21600,l21600,xe">
            <v:stroke joinstyle="miter"/>
            <v:path gradientshapeok="t" o:connecttype="rect"/>
          </v:shapetype>
          <v:shape style="position:absolute;margin-left:35.006748pt;margin-top:17.865646pt;width:539.050pt;height:22.45pt;mso-position-horizontal-relative:page;mso-position-vertical-relative:paragraph;z-index:-251625472;mso-wrap-distance-left:0;mso-wrap-distance-right:0" type="#_x0000_t202" filled="true" fillcolor="#ff9933" stroked="true" strokeweight=".80090pt" strokecolor="#000000">
            <v:textbox inset="0,0,0,0">
              <w:txbxContent>
                <w:p>
                  <w:pPr>
                    <w:pStyle w:val="BodyText"/>
                    <w:spacing w:before="64"/>
                    <w:ind w:left="3443" w:right="3441"/>
                    <w:jc w:val="center"/>
                  </w:pPr>
                  <w:r>
                    <w:rPr>
                      <w:color w:val="DDDDDD"/>
                    </w:rPr>
                    <w:t>乾隆大藏经·大乘论·显扬圣教论颂</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4445" w:hanging="369"/>
      </w:pPr>
      <w:rPr>
        <w:rFonts w:hint="default"/>
        <w:lang w:val="zh-CN" w:eastAsia="zh-CN" w:bidi="zh-CN"/>
      </w:rPr>
    </w:lvl>
    <w:lvl w:ilvl="2">
      <w:start w:val="0"/>
      <w:numFmt w:val="bullet"/>
      <w:lvlText w:val="•"/>
      <w:lvlJc w:val="left"/>
      <w:pPr>
        <w:ind w:left="4630" w:hanging="369"/>
      </w:pPr>
      <w:rPr>
        <w:rFonts w:hint="default"/>
        <w:lang w:val="zh-CN" w:eastAsia="zh-CN" w:bidi="zh-CN"/>
      </w:rPr>
    </w:lvl>
    <w:lvl w:ilvl="3">
      <w:start w:val="0"/>
      <w:numFmt w:val="bullet"/>
      <w:lvlText w:val="•"/>
      <w:lvlJc w:val="left"/>
      <w:pPr>
        <w:ind w:left="4815" w:hanging="369"/>
      </w:pPr>
      <w:rPr>
        <w:rFonts w:hint="default"/>
        <w:lang w:val="zh-CN" w:eastAsia="zh-CN" w:bidi="zh-CN"/>
      </w:rPr>
    </w:lvl>
    <w:lvl w:ilvl="4">
      <w:start w:val="0"/>
      <w:numFmt w:val="bullet"/>
      <w:lvlText w:val="•"/>
      <w:lvlJc w:val="left"/>
      <w:pPr>
        <w:ind w:left="5001" w:hanging="369"/>
      </w:pPr>
      <w:rPr>
        <w:rFonts w:hint="default"/>
        <w:lang w:val="zh-CN" w:eastAsia="zh-CN" w:bidi="zh-CN"/>
      </w:rPr>
    </w:lvl>
    <w:lvl w:ilvl="5">
      <w:start w:val="0"/>
      <w:numFmt w:val="bullet"/>
      <w:lvlText w:val="•"/>
      <w:lvlJc w:val="left"/>
      <w:pPr>
        <w:ind w:left="5186" w:hanging="369"/>
      </w:pPr>
      <w:rPr>
        <w:rFonts w:hint="default"/>
        <w:lang w:val="zh-CN" w:eastAsia="zh-CN" w:bidi="zh-CN"/>
      </w:rPr>
    </w:lvl>
    <w:lvl w:ilvl="6">
      <w:start w:val="0"/>
      <w:numFmt w:val="bullet"/>
      <w:lvlText w:val="•"/>
      <w:lvlJc w:val="left"/>
      <w:pPr>
        <w:ind w:left="5371" w:hanging="369"/>
      </w:pPr>
      <w:rPr>
        <w:rFonts w:hint="default"/>
        <w:lang w:val="zh-CN" w:eastAsia="zh-CN" w:bidi="zh-CN"/>
      </w:rPr>
    </w:lvl>
    <w:lvl w:ilvl="7">
      <w:start w:val="0"/>
      <w:numFmt w:val="bullet"/>
      <w:lvlText w:val="•"/>
      <w:lvlJc w:val="left"/>
      <w:pPr>
        <w:ind w:left="5557" w:hanging="369"/>
      </w:pPr>
      <w:rPr>
        <w:rFonts w:hint="default"/>
        <w:lang w:val="zh-CN" w:eastAsia="zh-CN" w:bidi="zh-CN"/>
      </w:rPr>
    </w:lvl>
    <w:lvl w:ilvl="8">
      <w:start w:val="0"/>
      <w:numFmt w:val="bullet"/>
      <w:lvlText w:val="•"/>
      <w:lvlJc w:val="left"/>
      <w:pPr>
        <w:ind w:left="574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439" w:hanging="369"/>
      </w:pPr>
      <w:rPr>
        <w:rFonts w:hint="default"/>
        <w:lang w:val="zh-CN" w:eastAsia="zh-CN" w:bidi="zh-CN"/>
      </w:rPr>
    </w:lvl>
    <w:lvl w:ilvl="2">
      <w:start w:val="0"/>
      <w:numFmt w:val="bullet"/>
      <w:lvlText w:val="•"/>
      <w:lvlJc w:val="left"/>
      <w:pPr>
        <w:ind w:left="1958" w:hanging="369"/>
      </w:pPr>
      <w:rPr>
        <w:rFonts w:hint="default"/>
        <w:lang w:val="zh-CN" w:eastAsia="zh-CN" w:bidi="zh-CN"/>
      </w:rPr>
    </w:lvl>
    <w:lvl w:ilvl="3">
      <w:start w:val="0"/>
      <w:numFmt w:val="bullet"/>
      <w:lvlText w:val="•"/>
      <w:lvlJc w:val="left"/>
      <w:pPr>
        <w:ind w:left="2477" w:hanging="369"/>
      </w:pPr>
      <w:rPr>
        <w:rFonts w:hint="default"/>
        <w:lang w:val="zh-CN" w:eastAsia="zh-CN" w:bidi="zh-CN"/>
      </w:rPr>
    </w:lvl>
    <w:lvl w:ilvl="4">
      <w:start w:val="0"/>
      <w:numFmt w:val="bullet"/>
      <w:lvlText w:val="•"/>
      <w:lvlJc w:val="left"/>
      <w:pPr>
        <w:ind w:left="2997" w:hanging="369"/>
      </w:pPr>
      <w:rPr>
        <w:rFonts w:hint="default"/>
        <w:lang w:val="zh-CN" w:eastAsia="zh-CN" w:bidi="zh-CN"/>
      </w:rPr>
    </w:lvl>
    <w:lvl w:ilvl="5">
      <w:start w:val="0"/>
      <w:numFmt w:val="bullet"/>
      <w:lvlText w:val="•"/>
      <w:lvlJc w:val="left"/>
      <w:pPr>
        <w:ind w:left="3516" w:hanging="369"/>
      </w:pPr>
      <w:rPr>
        <w:rFonts w:hint="default"/>
        <w:lang w:val="zh-CN" w:eastAsia="zh-CN" w:bidi="zh-CN"/>
      </w:rPr>
    </w:lvl>
    <w:lvl w:ilvl="6">
      <w:start w:val="0"/>
      <w:numFmt w:val="bullet"/>
      <w:lvlText w:val="•"/>
      <w:lvlJc w:val="left"/>
      <w:pPr>
        <w:ind w:left="4035" w:hanging="369"/>
      </w:pPr>
      <w:rPr>
        <w:rFonts w:hint="default"/>
        <w:lang w:val="zh-CN" w:eastAsia="zh-CN" w:bidi="zh-CN"/>
      </w:rPr>
    </w:lvl>
    <w:lvl w:ilvl="7">
      <w:start w:val="0"/>
      <w:numFmt w:val="bullet"/>
      <w:lvlText w:val="•"/>
      <w:lvlJc w:val="left"/>
      <w:pPr>
        <w:ind w:left="4555" w:hanging="369"/>
      </w:pPr>
      <w:rPr>
        <w:rFonts w:hint="default"/>
        <w:lang w:val="zh-CN" w:eastAsia="zh-CN" w:bidi="zh-CN"/>
      </w:rPr>
    </w:lvl>
    <w:lvl w:ilvl="8">
      <w:start w:val="0"/>
      <w:numFmt w:val="bullet"/>
      <w:lvlText w:val="•"/>
      <w:lvlJc w:val="left"/>
      <w:pPr>
        <w:ind w:left="5074"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7"/>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94.htm" TargetMode="External"/><Relationship Id="rId6" Type="http://schemas.openxmlformats.org/officeDocument/2006/relationships/hyperlink" Target="http://qldzj.com/htmljw/1196.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2019-12-18T12:42:58Z</dcterms:created>
  <dcterms:modified xsi:type="dcterms:W3CDTF">2019-12-18T12:42:58Z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