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8"/>
        <w:gridCol w:w="1374"/>
        <w:gridCol w:w="3620"/>
        <w:gridCol w:w="3399"/>
      </w:tblGrid>
      <w:tr>
        <w:trPr>
          <w:trHeight w:val="748" w:hRule="atLeast"/>
        </w:trPr>
        <w:tc>
          <w:tcPr>
            <w:tcW w:w="2388"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大乘论·第1201部</w:t>
            </w:r>
          </w:p>
        </w:tc>
        <w:tc>
          <w:tcPr>
            <w:tcW w:w="4994" w:type="dxa"/>
            <w:gridSpan w:val="2"/>
            <w:tcBorders>
              <w:top w:val="single" w:sz="8" w:space="0" w:color="000000"/>
              <w:bottom w:val="single" w:sz="8" w:space="0" w:color="000000"/>
            </w:tcBorders>
            <w:shd w:val="clear" w:color="auto" w:fill="FF9933"/>
          </w:tcPr>
          <w:p>
            <w:pPr>
              <w:pStyle w:val="TableParagraph"/>
              <w:spacing w:before="86"/>
              <w:ind w:left="1209"/>
              <w:rPr>
                <w:sz w:val="24"/>
              </w:rPr>
            </w:pPr>
            <w:r>
              <w:rPr>
                <w:color w:val="EDFFFF"/>
                <w:sz w:val="24"/>
              </w:rPr>
              <w:t>能断金刚般若波罗蜜多经论颂一卷</w:t>
            </w:r>
          </w:p>
        </w:tc>
        <w:tc>
          <w:tcPr>
            <w:tcW w:w="3399" w:type="dxa"/>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08"/>
              <w:jc w:val="right"/>
              <w:rPr>
                <w:sz w:val="24"/>
              </w:rPr>
            </w:pPr>
            <w:r>
              <w:rPr>
                <w:color w:val="DDDDDD"/>
                <w:sz w:val="24"/>
              </w:rPr>
              <w:t>无著菩萨造唐三藏法师义净</w:t>
            </w:r>
          </w:p>
          <w:p>
            <w:pPr>
              <w:pStyle w:val="TableParagraph"/>
              <w:spacing w:line="290" w:lineRule="exact"/>
              <w:ind w:right="308"/>
              <w:jc w:val="right"/>
              <w:rPr>
                <w:sz w:val="24"/>
              </w:rPr>
            </w:pPr>
            <w:r>
              <w:rPr>
                <w:color w:val="DDDDDD"/>
                <w:sz w:val="24"/>
              </w:rPr>
              <w:t>奉制译</w:t>
            </w:r>
          </w:p>
        </w:tc>
      </w:tr>
      <w:tr>
        <w:trPr>
          <w:trHeight w:val="1421" w:hRule="atLeast"/>
        </w:trPr>
        <w:tc>
          <w:tcPr>
            <w:tcW w:w="3762" w:type="dxa"/>
            <w:gridSpan w:val="2"/>
            <w:tcBorders>
              <w:top w:val="single" w:sz="8" w:space="0" w:color="000000"/>
              <w:left w:val="single" w:sz="8" w:space="0" w:color="000000"/>
              <w:bottom w:val="single" w:sz="8" w:space="0" w:color="000000"/>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8"/>
              <w:rPr>
                <w:rFonts w:ascii="Times New Roman"/>
                <w:sz w:val="32"/>
              </w:rPr>
            </w:pPr>
          </w:p>
          <w:p>
            <w:pPr>
              <w:pStyle w:val="TableParagraph"/>
              <w:spacing w:line="213" w:lineRule="auto"/>
              <w:ind w:left="543" w:right="323"/>
              <w:rPr>
                <w:sz w:val="24"/>
              </w:rPr>
            </w:pPr>
            <w:r>
              <w:rPr>
                <w:color w:val="FF3300"/>
                <w:sz w:val="24"/>
              </w:rPr>
              <w:t>能断金刚般若波罗蜜多经论颂</w:t>
            </w:r>
          </w:p>
        </w:tc>
        <w:tc>
          <w:tcPr>
            <w:tcW w:w="3620" w:type="dxa"/>
            <w:tcBorders>
              <w:top w:val="single" w:sz="8" w:space="0" w:color="000000"/>
              <w:bottom w:val="single" w:sz="8" w:space="0" w:color="000000"/>
            </w:tcBorders>
          </w:tcPr>
          <w:p>
            <w:pPr>
              <w:pStyle w:val="TableParagraph"/>
              <w:numPr>
                <w:ilvl w:val="0"/>
                <w:numId w:val="2"/>
              </w:numPr>
              <w:tabs>
                <w:tab w:pos="501" w:val="left" w:leader="none"/>
              </w:tabs>
              <w:spacing w:line="290" w:lineRule="exact" w:before="86" w:after="0"/>
              <w:ind w:left="500"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501" w:val="left" w:leader="none"/>
              </w:tabs>
              <w:spacing w:line="290" w:lineRule="exact" w:before="0" w:after="0"/>
              <w:ind w:left="500" w:right="0" w:hanging="369"/>
              <w:jc w:val="left"/>
              <w:rPr>
                <w:sz w:val="24"/>
              </w:rPr>
            </w:pPr>
            <w:r>
              <w:rPr>
                <w:color w:val="993300"/>
                <w:sz w:val="24"/>
              </w:rPr>
              <w:t>译作者</w:t>
            </w:r>
          </w:p>
        </w:tc>
        <w:tc>
          <w:tcPr>
            <w:tcW w:w="3399" w:type="dxa"/>
            <w:tcBorders>
              <w:top w:val="single" w:sz="8" w:space="0" w:color="000000"/>
              <w:bottom w:val="single" w:sz="8" w:space="0" w:color="000000"/>
              <w:right w:val="single" w:sz="8" w:space="0" w:color="000000"/>
            </w:tcBorders>
          </w:tcPr>
          <w:p>
            <w:pPr>
              <w:pStyle w:val="TableParagraph"/>
              <w:spacing w:line="213" w:lineRule="auto" w:before="113"/>
              <w:ind w:left="1825" w:right="360"/>
              <w:rPr>
                <w:sz w:val="24"/>
              </w:rPr>
            </w:pPr>
            <w:r>
              <w:rPr>
                <w:sz w:val="24"/>
              </w:rPr>
              <w:t>字体：</w:t>
            </w:r>
            <w:r>
              <w:rPr>
                <w:color w:val="FF3300"/>
                <w:sz w:val="24"/>
              </w:rPr>
              <w:t>大号中号 小号</w:t>
            </w:r>
          </w:p>
        </w:tc>
      </w:tr>
      <w:tr>
        <w:trPr>
          <w:trHeight w:val="712" w:hRule="atLeast"/>
        </w:trPr>
        <w:tc>
          <w:tcPr>
            <w:tcW w:w="3762" w:type="dxa"/>
            <w:gridSpan w:val="2"/>
            <w:tcBorders>
              <w:top w:val="single" w:sz="8" w:space="0" w:color="000000"/>
              <w:left w:val="single" w:sz="8" w:space="0" w:color="000000"/>
            </w:tcBorders>
          </w:tcPr>
          <w:p>
            <w:pPr>
              <w:pStyle w:val="TableParagraph"/>
              <w:rPr>
                <w:rFonts w:ascii="Times New Roman"/>
                <w:sz w:val="24"/>
              </w:rPr>
            </w:pPr>
          </w:p>
        </w:tc>
        <w:tc>
          <w:tcPr>
            <w:tcW w:w="3620" w:type="dxa"/>
            <w:tcBorders>
              <w:top w:val="single" w:sz="8" w:space="0" w:color="000000"/>
            </w:tcBorders>
          </w:tcPr>
          <w:p>
            <w:pPr>
              <w:pStyle w:val="TableParagraph"/>
              <w:spacing w:before="5"/>
              <w:rPr>
                <w:rFonts w:ascii="Times New Roman"/>
                <w:sz w:val="21"/>
              </w:rPr>
            </w:pPr>
          </w:p>
          <w:p>
            <w:pPr>
              <w:pStyle w:val="TableParagraph"/>
              <w:ind w:left="75"/>
              <w:rPr>
                <w:sz w:val="24"/>
              </w:rPr>
            </w:pPr>
            <w:r>
              <w:rPr>
                <w:color w:val="FF3300"/>
                <w:sz w:val="24"/>
              </w:rPr>
              <w:t>能断金刚般若波罗蜜多经论颂</w:t>
            </w:r>
          </w:p>
        </w:tc>
        <w:tc>
          <w:tcPr>
            <w:tcW w:w="3399" w:type="dxa"/>
            <w:tcBorders>
              <w:top w:val="single" w:sz="8" w:space="0" w:color="000000"/>
              <w:right w:val="single" w:sz="8" w:space="0" w:color="000000"/>
            </w:tcBorders>
          </w:tcPr>
          <w:p>
            <w:pPr>
              <w:pStyle w:val="TableParagraph"/>
              <w:rPr>
                <w:rFonts w:ascii="Times New Roman"/>
                <w:sz w:val="24"/>
              </w:rPr>
            </w:pPr>
          </w:p>
        </w:tc>
      </w:tr>
      <w:tr>
        <w:trPr>
          <w:trHeight w:val="536" w:hRule="atLeast"/>
        </w:trPr>
        <w:tc>
          <w:tcPr>
            <w:tcW w:w="2388" w:type="dxa"/>
            <w:tcBorders>
              <w:left w:val="single" w:sz="8" w:space="0" w:color="000000"/>
            </w:tcBorders>
          </w:tcPr>
          <w:p>
            <w:pPr>
              <w:pStyle w:val="TableParagraph"/>
              <w:spacing w:before="142"/>
              <w:ind w:left="808"/>
              <w:rPr>
                <w:sz w:val="24"/>
              </w:rPr>
            </w:pPr>
            <w:r>
              <w:rPr>
                <w:sz w:val="24"/>
              </w:rPr>
              <w:t>胜利益应知</w:t>
            </w:r>
          </w:p>
        </w:tc>
        <w:tc>
          <w:tcPr>
            <w:tcW w:w="1374" w:type="dxa"/>
          </w:tcPr>
          <w:p>
            <w:pPr>
              <w:pStyle w:val="TableParagraph"/>
              <w:spacing w:before="142"/>
              <w:ind w:left="92" w:right="41"/>
              <w:jc w:val="center"/>
              <w:rPr>
                <w:sz w:val="24"/>
              </w:rPr>
            </w:pPr>
            <w:r>
              <w:rPr>
                <w:sz w:val="24"/>
              </w:rPr>
              <w:t>于身并属者</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得未得不退</w:t>
            </w:r>
          </w:p>
        </w:tc>
        <w:tc>
          <w:tcPr>
            <w:tcW w:w="1374" w:type="dxa"/>
          </w:tcPr>
          <w:p>
            <w:pPr>
              <w:pStyle w:val="TableParagraph"/>
              <w:spacing w:before="70"/>
              <w:ind w:left="92" w:right="41"/>
              <w:jc w:val="center"/>
              <w:rPr>
                <w:sz w:val="24"/>
              </w:rPr>
            </w:pPr>
            <w:r>
              <w:rPr>
                <w:sz w:val="24"/>
              </w:rPr>
              <w:t>谓最胜付嘱</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于心广最胜</w:t>
            </w:r>
          </w:p>
        </w:tc>
        <w:tc>
          <w:tcPr>
            <w:tcW w:w="1374" w:type="dxa"/>
          </w:tcPr>
          <w:p>
            <w:pPr>
              <w:pStyle w:val="TableParagraph"/>
              <w:spacing w:before="70"/>
              <w:ind w:left="92" w:right="41"/>
              <w:jc w:val="center"/>
              <w:rPr>
                <w:sz w:val="24"/>
              </w:rPr>
            </w:pPr>
            <w:r>
              <w:rPr>
                <w:sz w:val="24"/>
              </w:rPr>
              <w:t>至极无颠倒</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利益意乐处</w:t>
            </w:r>
          </w:p>
        </w:tc>
        <w:tc>
          <w:tcPr>
            <w:tcW w:w="1374" w:type="dxa"/>
          </w:tcPr>
          <w:p>
            <w:pPr>
              <w:pStyle w:val="TableParagraph"/>
              <w:spacing w:before="70"/>
              <w:ind w:left="92" w:right="41"/>
              <w:jc w:val="center"/>
              <w:rPr>
                <w:sz w:val="24"/>
              </w:rPr>
            </w:pPr>
            <w:r>
              <w:rPr>
                <w:sz w:val="24"/>
              </w:rPr>
              <w:t>此乘功德满</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六度皆名施</w:t>
            </w:r>
          </w:p>
        </w:tc>
        <w:tc>
          <w:tcPr>
            <w:tcW w:w="1374" w:type="dxa"/>
          </w:tcPr>
          <w:p>
            <w:pPr>
              <w:pStyle w:val="TableParagraph"/>
              <w:spacing w:before="70"/>
              <w:ind w:left="92" w:right="41"/>
              <w:jc w:val="center"/>
              <w:rPr>
                <w:sz w:val="24"/>
              </w:rPr>
            </w:pPr>
            <w:r>
              <w:rPr>
                <w:sz w:val="24"/>
              </w:rPr>
              <w:t>由财无畏法</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此中一二三</w:t>
            </w:r>
          </w:p>
        </w:tc>
        <w:tc>
          <w:tcPr>
            <w:tcW w:w="1374" w:type="dxa"/>
          </w:tcPr>
          <w:p>
            <w:pPr>
              <w:pStyle w:val="TableParagraph"/>
              <w:spacing w:before="70"/>
              <w:ind w:left="92" w:right="41"/>
              <w:jc w:val="center"/>
              <w:rPr>
                <w:sz w:val="24"/>
              </w:rPr>
            </w:pPr>
            <w:r>
              <w:rPr>
                <w:sz w:val="24"/>
              </w:rPr>
              <w:t>名修行不住</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为自身报恩</w:t>
            </w:r>
          </w:p>
        </w:tc>
        <w:tc>
          <w:tcPr>
            <w:tcW w:w="1374" w:type="dxa"/>
          </w:tcPr>
          <w:p>
            <w:pPr>
              <w:pStyle w:val="TableParagraph"/>
              <w:spacing w:before="70"/>
              <w:ind w:left="92" w:right="41"/>
              <w:jc w:val="center"/>
              <w:rPr>
                <w:sz w:val="24"/>
              </w:rPr>
            </w:pPr>
            <w:r>
              <w:rPr>
                <w:sz w:val="24"/>
              </w:rPr>
              <w:t>果报皆不着</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为离于不起</w:t>
            </w:r>
          </w:p>
        </w:tc>
        <w:tc>
          <w:tcPr>
            <w:tcW w:w="1374" w:type="dxa"/>
          </w:tcPr>
          <w:p>
            <w:pPr>
              <w:pStyle w:val="TableParagraph"/>
              <w:spacing w:before="70"/>
              <w:ind w:left="92" w:right="41"/>
              <w:jc w:val="center"/>
              <w:rPr>
                <w:sz w:val="24"/>
              </w:rPr>
            </w:pPr>
            <w:r>
              <w:rPr>
                <w:sz w:val="24"/>
              </w:rPr>
              <w:t>及离为余行</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摄伏在三轮</w:t>
            </w:r>
          </w:p>
        </w:tc>
        <w:tc>
          <w:tcPr>
            <w:tcW w:w="1374" w:type="dxa"/>
          </w:tcPr>
          <w:p>
            <w:pPr>
              <w:pStyle w:val="TableParagraph"/>
              <w:spacing w:before="70"/>
              <w:ind w:left="92" w:right="41"/>
              <w:jc w:val="center"/>
              <w:rPr>
                <w:sz w:val="24"/>
              </w:rPr>
            </w:pPr>
            <w:r>
              <w:rPr>
                <w:sz w:val="24"/>
              </w:rPr>
              <w:t>于相心除遣</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后后诸疑惑</w:t>
            </w:r>
          </w:p>
        </w:tc>
        <w:tc>
          <w:tcPr>
            <w:tcW w:w="1374" w:type="dxa"/>
          </w:tcPr>
          <w:p>
            <w:pPr>
              <w:pStyle w:val="TableParagraph"/>
              <w:spacing w:before="70"/>
              <w:ind w:left="92" w:right="41"/>
              <w:jc w:val="center"/>
              <w:rPr>
                <w:sz w:val="24"/>
              </w:rPr>
            </w:pPr>
            <w:r>
              <w:rPr>
                <w:sz w:val="24"/>
              </w:rPr>
              <w:t>随生皆悉除</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若将为集造</w:t>
            </w:r>
          </w:p>
        </w:tc>
        <w:tc>
          <w:tcPr>
            <w:tcW w:w="1374" w:type="dxa"/>
          </w:tcPr>
          <w:p>
            <w:pPr>
              <w:pStyle w:val="TableParagraph"/>
              <w:spacing w:before="70"/>
              <w:ind w:left="92" w:right="41"/>
              <w:jc w:val="center"/>
              <w:rPr>
                <w:sz w:val="24"/>
              </w:rPr>
            </w:pPr>
            <w:r>
              <w:rPr>
                <w:sz w:val="24"/>
              </w:rPr>
              <w:t>妙相非胜相</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三相迁异故</w:t>
            </w:r>
          </w:p>
        </w:tc>
        <w:tc>
          <w:tcPr>
            <w:tcW w:w="1374" w:type="dxa"/>
          </w:tcPr>
          <w:p>
            <w:pPr>
              <w:pStyle w:val="TableParagraph"/>
              <w:spacing w:before="70"/>
              <w:ind w:left="92" w:right="41"/>
              <w:jc w:val="center"/>
              <w:rPr>
                <w:sz w:val="24"/>
              </w:rPr>
            </w:pPr>
            <w:r>
              <w:rPr>
                <w:sz w:val="24"/>
              </w:rPr>
              <w:t>无此谓如来</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因与果甚深</w:t>
            </w:r>
          </w:p>
        </w:tc>
        <w:tc>
          <w:tcPr>
            <w:tcW w:w="1374" w:type="dxa"/>
          </w:tcPr>
          <w:p>
            <w:pPr>
              <w:pStyle w:val="TableParagraph"/>
              <w:spacing w:before="70"/>
              <w:ind w:left="92" w:right="41"/>
              <w:jc w:val="center"/>
              <w:rPr>
                <w:sz w:val="24"/>
              </w:rPr>
            </w:pPr>
            <w:r>
              <w:rPr>
                <w:sz w:val="24"/>
              </w:rPr>
              <w:t>于彼恶时说</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此非无利益</w:t>
            </w:r>
          </w:p>
        </w:tc>
        <w:tc>
          <w:tcPr>
            <w:tcW w:w="1374" w:type="dxa"/>
          </w:tcPr>
          <w:p>
            <w:pPr>
              <w:pStyle w:val="TableParagraph"/>
              <w:spacing w:before="70"/>
              <w:ind w:left="92" w:right="41"/>
              <w:jc w:val="center"/>
              <w:rPr>
                <w:sz w:val="24"/>
              </w:rPr>
            </w:pPr>
            <w:r>
              <w:rPr>
                <w:sz w:val="24"/>
              </w:rPr>
              <w:t>由三菩萨殊</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由于先佛所</w:t>
            </w:r>
          </w:p>
        </w:tc>
        <w:tc>
          <w:tcPr>
            <w:tcW w:w="1374" w:type="dxa"/>
          </w:tcPr>
          <w:p>
            <w:pPr>
              <w:pStyle w:val="TableParagraph"/>
              <w:spacing w:before="70"/>
              <w:ind w:left="92" w:right="41"/>
              <w:jc w:val="center"/>
              <w:rPr>
                <w:sz w:val="24"/>
              </w:rPr>
            </w:pPr>
            <w:r>
              <w:rPr>
                <w:sz w:val="24"/>
              </w:rPr>
              <w:t>奉持于戒学</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并植善根故</w:t>
            </w:r>
          </w:p>
        </w:tc>
        <w:tc>
          <w:tcPr>
            <w:tcW w:w="1374" w:type="dxa"/>
          </w:tcPr>
          <w:p>
            <w:pPr>
              <w:pStyle w:val="TableParagraph"/>
              <w:spacing w:before="70"/>
              <w:ind w:left="92" w:right="41"/>
              <w:jc w:val="center"/>
              <w:rPr>
                <w:sz w:val="24"/>
              </w:rPr>
            </w:pPr>
            <w:r>
              <w:rPr>
                <w:sz w:val="24"/>
              </w:rPr>
              <w:t>名具戒具德</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能断于我想</w:t>
            </w:r>
          </w:p>
        </w:tc>
        <w:tc>
          <w:tcPr>
            <w:tcW w:w="1374" w:type="dxa"/>
          </w:tcPr>
          <w:p>
            <w:pPr>
              <w:pStyle w:val="TableParagraph"/>
              <w:spacing w:before="70"/>
              <w:ind w:left="92" w:right="41"/>
              <w:jc w:val="center"/>
              <w:rPr>
                <w:sz w:val="24"/>
              </w:rPr>
            </w:pPr>
            <w:r>
              <w:rPr>
                <w:sz w:val="24"/>
              </w:rPr>
              <w:t>及以法想故</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此名为具慧</w:t>
            </w:r>
          </w:p>
        </w:tc>
        <w:tc>
          <w:tcPr>
            <w:tcW w:w="1374" w:type="dxa"/>
          </w:tcPr>
          <w:p>
            <w:pPr>
              <w:pStyle w:val="TableParagraph"/>
              <w:spacing w:before="70"/>
              <w:ind w:left="92" w:right="41"/>
              <w:jc w:val="center"/>
              <w:rPr>
                <w:sz w:val="24"/>
              </w:rPr>
            </w:pPr>
            <w:r>
              <w:rPr>
                <w:sz w:val="24"/>
              </w:rPr>
              <w:t>二四殊成八</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别体相续起</w:t>
            </w:r>
          </w:p>
        </w:tc>
        <w:tc>
          <w:tcPr>
            <w:tcW w:w="1374" w:type="dxa"/>
          </w:tcPr>
          <w:p>
            <w:pPr>
              <w:pStyle w:val="TableParagraph"/>
              <w:spacing w:before="70"/>
              <w:ind w:left="92" w:right="41"/>
              <w:jc w:val="center"/>
              <w:rPr>
                <w:sz w:val="24"/>
              </w:rPr>
            </w:pPr>
            <w:r>
              <w:rPr>
                <w:sz w:val="24"/>
              </w:rPr>
              <w:t>至寿尽而住</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更求于余趣</w:t>
            </w:r>
          </w:p>
        </w:tc>
        <w:tc>
          <w:tcPr>
            <w:tcW w:w="1374" w:type="dxa"/>
          </w:tcPr>
          <w:p>
            <w:pPr>
              <w:pStyle w:val="TableParagraph"/>
              <w:spacing w:before="70"/>
              <w:ind w:left="92" w:right="41"/>
              <w:jc w:val="center"/>
              <w:rPr>
                <w:sz w:val="24"/>
              </w:rPr>
            </w:pPr>
            <w:r>
              <w:rPr>
                <w:sz w:val="24"/>
              </w:rPr>
              <w:t>我想有四种</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皆无故非有</w:t>
            </w:r>
          </w:p>
        </w:tc>
        <w:tc>
          <w:tcPr>
            <w:tcW w:w="1374" w:type="dxa"/>
          </w:tcPr>
          <w:p>
            <w:pPr>
              <w:pStyle w:val="TableParagraph"/>
              <w:spacing w:before="70"/>
              <w:ind w:left="92" w:right="41"/>
              <w:jc w:val="center"/>
              <w:rPr>
                <w:sz w:val="24"/>
              </w:rPr>
            </w:pPr>
            <w:r>
              <w:rPr>
                <w:sz w:val="24"/>
              </w:rPr>
              <w:t>有故不可说</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是言说因故</w:t>
            </w:r>
          </w:p>
        </w:tc>
        <w:tc>
          <w:tcPr>
            <w:tcW w:w="1374" w:type="dxa"/>
          </w:tcPr>
          <w:p>
            <w:pPr>
              <w:pStyle w:val="TableParagraph"/>
              <w:spacing w:before="70"/>
              <w:ind w:left="92" w:right="41"/>
              <w:jc w:val="center"/>
              <w:rPr>
                <w:sz w:val="24"/>
              </w:rPr>
            </w:pPr>
            <w:r>
              <w:rPr>
                <w:sz w:val="24"/>
              </w:rPr>
              <w:t>法想有四种</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464" w:hRule="atLeast"/>
        </w:trPr>
        <w:tc>
          <w:tcPr>
            <w:tcW w:w="2388" w:type="dxa"/>
            <w:tcBorders>
              <w:left w:val="single" w:sz="8" w:space="0" w:color="000000"/>
            </w:tcBorders>
          </w:tcPr>
          <w:p>
            <w:pPr>
              <w:pStyle w:val="TableParagraph"/>
              <w:spacing w:before="70"/>
              <w:ind w:left="808"/>
              <w:rPr>
                <w:sz w:val="24"/>
              </w:rPr>
            </w:pPr>
            <w:r>
              <w:rPr>
                <w:sz w:val="24"/>
              </w:rPr>
              <w:t>由彼信解力</w:t>
            </w:r>
          </w:p>
        </w:tc>
        <w:tc>
          <w:tcPr>
            <w:tcW w:w="1374" w:type="dxa"/>
          </w:tcPr>
          <w:p>
            <w:pPr>
              <w:pStyle w:val="TableParagraph"/>
              <w:spacing w:before="70"/>
              <w:ind w:left="92" w:right="41"/>
              <w:jc w:val="center"/>
              <w:rPr>
                <w:sz w:val="24"/>
              </w:rPr>
            </w:pPr>
            <w:r>
              <w:rPr>
                <w:sz w:val="24"/>
              </w:rPr>
              <w:t>信故生实想</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r>
        <w:trPr>
          <w:trHeight w:val="878" w:hRule="atLeast"/>
        </w:trPr>
        <w:tc>
          <w:tcPr>
            <w:tcW w:w="2388" w:type="dxa"/>
            <w:tcBorders>
              <w:left w:val="single" w:sz="8" w:space="0" w:color="000000"/>
            </w:tcBorders>
          </w:tcPr>
          <w:p>
            <w:pPr>
              <w:pStyle w:val="TableParagraph"/>
              <w:spacing w:before="70"/>
              <w:ind w:left="808"/>
              <w:rPr>
                <w:sz w:val="24"/>
              </w:rPr>
            </w:pPr>
            <w:r>
              <w:rPr>
                <w:sz w:val="24"/>
              </w:rPr>
              <w:t>不如言取故</w:t>
            </w:r>
          </w:p>
        </w:tc>
        <w:tc>
          <w:tcPr>
            <w:tcW w:w="1374" w:type="dxa"/>
          </w:tcPr>
          <w:p>
            <w:pPr>
              <w:pStyle w:val="TableParagraph"/>
              <w:spacing w:before="70"/>
              <w:ind w:left="92" w:right="41"/>
              <w:jc w:val="center"/>
              <w:rPr>
                <w:sz w:val="24"/>
              </w:rPr>
            </w:pPr>
            <w:r>
              <w:rPr>
                <w:sz w:val="24"/>
              </w:rPr>
              <w:t>取为正说故</w:t>
            </w:r>
          </w:p>
        </w:tc>
        <w:tc>
          <w:tcPr>
            <w:tcW w:w="3620" w:type="dxa"/>
          </w:tcPr>
          <w:p>
            <w:pPr>
              <w:pStyle w:val="TableParagraph"/>
              <w:rPr>
                <w:rFonts w:ascii="Times New Roman"/>
                <w:sz w:val="24"/>
              </w:rPr>
            </w:pPr>
          </w:p>
        </w:tc>
        <w:tc>
          <w:tcPr>
            <w:tcW w:w="3399" w:type="dxa"/>
            <w:tcBorders>
              <w:right w:val="single" w:sz="8" w:space="0" w:color="000000"/>
            </w:tcBorders>
          </w:tcPr>
          <w:p>
            <w:pPr>
              <w:pStyle w:val="TableParagraph"/>
              <w:rPr>
                <w:rFonts w:ascii="Times New Roman"/>
                <w:sz w:val="24"/>
              </w:rPr>
            </w:pPr>
          </w:p>
        </w:tc>
      </w:tr>
    </w:tbl>
    <w:p>
      <w:pPr>
        <w:spacing w:after="0"/>
        <w:rPr>
          <w:rFonts w:ascii="Times New Roman"/>
          <w:sz w:val="24"/>
        </w:rPr>
        <w:sectPr>
          <w:type w:val="continuous"/>
          <w:pgSz w:w="12240" w:h="15840"/>
          <w:pgMar w:top="700" w:bottom="280" w:left="580" w:right="640"/>
        </w:sectPr>
      </w:pPr>
    </w:p>
    <w:p>
      <w:pPr>
        <w:pStyle w:val="BodyText"/>
        <w:spacing w:line="362" w:lineRule="auto" w:before="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佛了果非比   由愿智故知为求利敬者   遮其自说故证不住于法   为是随顺故犹如舍其筏   是密意应知化体非真佛   亦非说法者说法非二取   所说离言诠自受为他说   非无益集福福不持菩提   彼二能持故得自性因故   此余者是生唯是佛法故   能成最胜福不取自果故   非可取可说解脱二障故   说妙生无诤在燃灯佛所   言不取证法由斯证法成   非所取所说智流唯识性   国土非所执无形故胜故   非严许严性譬如妙高山   于受用无取非有漏性故   亦非是因造为显多差别   及以成殊胜前后福不同   更陈其喻说两成尊重故   由等流殊胜烦恼因性故   由劣亦胜故彼果胜苦故   难逢胜事故境岸非知故   于余不共故是甚深性故   胜余略诠故胄族高胜故   望福福殊胜彼行堪忍时   虽苦行善故彼德难量故   由斯名胜事由无恚怒情   不名为苦性有安乐大悲   行时非苦果生心因不舍 是故应坚求</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谓是得忍边   及此心方便应知正行者   是利生因故于有情事相   应知遍除遣彼事谓名聚   最胜除其想诸世尊无比   由真见相应果不住因位   是得彼果因世尊实语故   应知有四种立要说下乘   及说大乘义由诸授记事   皆无有差别不得彼顺故   是非实非妄如言而执者   对彼故宣说常时诸处有   于真性不获由无知有住   智无住得真无智犹如闇   当闲智若明能对及所治   得失现前故由如是正行   获如是福量于法正行者   业用今当说于人有三种   受持闻广说义得由从他   及已闻思故此谓熟内已   余成他有情由事时大性   望福福殊胜非境性独性   能依是大人及难可得闻   无上因增长若但持正法   所依处成器蠲除诸业障   速获智通性世妙事圆满   异熟极尊贵于此法修行   应知获斯业由自身行时   将已为菩萨说名为心障   违于无住心授后时记故   然灯行非胜菩萨彼行同 非实由因造</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spacing w:val="-2"/>
        </w:rPr>
        <w:t>无彼相为相   故显非是妄由法是佛法   皆非有为相谓以法身佛   应知喻丈夫无障圆具身   是遍满性故及德体大故   亦名为大身非有身是有   说彼作非身不了于法界   作度有情心及清净土田   此名为诳妄于菩萨众生   诸法无自性若解虽非圣   名圣慧应知虽不见诸法   此非无有眼佛能具五种   由境虚妄故种种心流转   离于念处故彼无持常转   故说为虚妄应知是智持   福乃非虚妄显此福因故   重陈共喻言谓于真法身   无随好圆满亦非是具相   非身性应知于法身无别   非如来无二重言其具相   由二体皆无如佛说亦无   说二是所执</w:t>
      </w:r>
      <w:r>
        <w:rPr>
          <w:spacing w:val="-1"/>
        </w:rPr>
        <w:t>由不离法界    说亦无自性</w:t>
      </w:r>
    </w:p>
    <w:p>
      <w:pPr>
        <w:pStyle w:val="BodyText"/>
        <w:spacing w:line="362" w:lineRule="auto" w:before="5"/>
        <w:ind w:right="6243"/>
      </w:pPr>
      <w:r>
        <w:rPr>
          <w:spacing w:val="-1"/>
        </w:rPr>
        <w:t>能说所说虽甚深   然亦非无敬信者由非众生非非生   非圣圣性相应故</w:t>
      </w:r>
      <w:r>
        <w:rPr/>
        <w:t>少法无有故 无上觉应知</w:t>
      </w:r>
    </w:p>
    <w:p>
      <w:pPr>
        <w:pStyle w:val="BodyText"/>
        <w:spacing w:line="362" w:lineRule="auto"/>
      </w:pPr>
      <w:r>
        <w:rPr>
          <w:spacing w:val="-2"/>
        </w:rPr>
        <w:t>由法界不增   清净平等性及方便无上   由漏性非法是故非善法   由此名为善说法虽无记   非不得应知由斯一法宝   胜彼宝无量</w:t>
      </w:r>
      <w:r>
        <w:rPr>
          <w:spacing w:val="-1"/>
        </w:rPr>
        <w:t>于诸算势类    因亦有差殊</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寻思于世间   喻所不能及法界平等故   佛不度众生于诸名共聚   不在法界外若起于法执   与我执过同定执脱有情   是无执妄执不应以色体   唯如来法身勿彼转轮王   与如来齐等即具相果报   圆满福不许能招于法身   由方便异性唯见色闻声   是人不知佛此真如法身   非是识境界其福不失亡   果报不断绝得忍亦不断   以获无垢故更论于福因   为此陈其喻彼福无报故   正取非越取彼福招化果   作利有情事彼事由任运   成佛现诸方去来等是化   正觉常不动彼于法界处   非一异应知微尘将作墨   喻显于法界此论造墨事   为彰烦恼尽非聚非集性   显是非一性于彼总集性   明其非异性不了但俗言   诸凡愚妄执断我法二种   非证觉无故是故见无见   无境虚妄执由此是细障   如是知故断由得二种智   及定彼方除陈福明化身   非无无尽福诸佛说法时   不言身是化由不自言故 是其真实说</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ragraph;z-index:251667456" from="574.012451pt,.000134pt" to="574.012451pt,230.015171pt" stroked="true" strokeweight=".80090pt" strokecolor="#000000">
            <v:stroke dashstyle="solid"/>
            <w10:wrap type="none"/>
          </v:line>
        </w:pict>
      </w:r>
      <w:r>
        <w:rPr/>
        <w:pict>
          <v:line style="position:absolute;mso-position-horizontal-relative:page;mso-position-vertical-relative:paragraph;z-index:251668480" from="35.006748pt,.000134pt" to="35.006748pt,230.015171pt" stroked="true" strokeweight=".80090pt" strokecolor="#000000">
            <v:stroke dashstyle="solid"/>
            <w10:wrap type="none"/>
          </v:line>
        </w:pict>
      </w:r>
      <w:r>
        <w:rPr/>
        <w:t>如来涅槃证   非造亦不殊此集造有九   以正智观故见相及与识   居处身受用过去并现存   未至详观察由观察相故   受用及迁流于有为事中 获无垢自在</w:t>
      </w:r>
    </w:p>
    <w:p>
      <w:pPr>
        <w:pStyle w:val="BodyText"/>
        <w:spacing w:before="2"/>
        <w:ind w:left="0" w:right="0"/>
        <w:jc w:val="left"/>
        <w:rPr>
          <w:sz w:val="26"/>
        </w:rPr>
      </w:pPr>
    </w:p>
    <w:p>
      <w:pPr>
        <w:pStyle w:val="BodyText"/>
        <w:spacing w:line="324" w:lineRule="auto" w:before="67"/>
        <w:ind w:left="873" w:right="4137"/>
        <w:jc w:val="left"/>
      </w:pPr>
      <w:r>
        <w:rPr/>
        <w:pict>
          <v:shape style="position:absolute;margin-left:62.637798pt;margin-top:10.544519pt;width:3.25pt;height:3.25pt;mso-position-horizontal-relative:page;mso-position-vertical-relative:paragraph;z-index:251669504" coordorigin="1253,211" coordsize="65,65" path="m1285,275l1271,273,1261,267,1255,257,1253,243,1255,229,1261,219,1271,213,1285,211,1299,213,1309,219,1315,229,1317,243,1315,257,1309,267,1299,273,1285,275xe" filled="true" fillcolor="#000000" stroked="false">
            <v:path arrowok="t"/>
            <v:fill type="solid"/>
            <w10:wrap type="none"/>
          </v:shape>
        </w:pict>
      </w:r>
      <w:r>
        <w:rPr/>
        <w:pict>
          <v:shape style="position:absolute;margin-left:62.637798pt;margin-top:31.36792pt;width:3.25pt;height:3.25pt;mso-position-horizontal-relative:page;mso-position-vertical-relative:paragraph;z-index:251670528" coordorigin="1253,627" coordsize="65,65" path="m1285,691l1271,689,1261,683,1255,673,1253,659,1255,645,1261,635,1271,629,1285,627,1299,629,1309,635,1315,645,1317,659,1315,673,1309,683,1299,689,1285,691xe" filled="true" fillcolor="#000000" stroked="false">
            <v:path arrowok="t"/>
            <v:fill type="solid"/>
            <w10:wrap type="none"/>
          </v:shape>
        </w:pict>
      </w:r>
      <w:hyperlink r:id="rId5">
        <w:r>
          <w:rPr>
            <w:color w:val="878787"/>
          </w:rPr>
          <w:t>上一部：乾隆大藏经·大乘论·涅槃经本有今无偈论一卷</w:t>
        </w:r>
      </w:hyperlink>
      <w:hyperlink r:id="rId6">
        <w:r>
          <w:rPr>
            <w:color w:val="878787"/>
          </w:rPr>
          <w:t>下一部：乾隆大藏经·大乘论·遗教经论一卷</w:t>
        </w:r>
      </w:hyperlink>
    </w:p>
    <w:p>
      <w:pPr>
        <w:pStyle w:val="BodyText"/>
        <w:ind w:left="0" w:right="0"/>
        <w:jc w:val="left"/>
        <w:rPr>
          <w:sz w:val="20"/>
        </w:rPr>
      </w:pPr>
    </w:p>
    <w:p>
      <w:pPr>
        <w:pStyle w:val="BodyText"/>
        <w:spacing w:before="11"/>
        <w:ind w:left="0" w:right="0"/>
        <w:jc w:val="left"/>
        <w:rPr>
          <w:sz w:val="15"/>
        </w:rPr>
      </w:pPr>
      <w:r>
        <w:rPr/>
        <w:pict>
          <v:shapetype id="_x0000_t202" o:spt="202" coordsize="21600,21600" path="m,l,21600r21600,l21600,xe">
            <v:stroke joinstyle="miter"/>
            <v:path gradientshapeok="t" o:connecttype="rect"/>
          </v:shapetype>
          <v:shape style="position:absolute;margin-left:35.006748pt;margin-top:12.536715pt;width:539.050pt;height:22.45pt;mso-position-horizontal-relative:page;mso-position-vertical-relative:paragraph;z-index:-251650048;mso-wrap-distance-left:0;mso-wrap-distance-right:0" type="#_x0000_t202" filled="true" fillcolor="#ff9933" stroked="true" strokeweight=".80090pt" strokecolor="#000000">
            <v:textbox inset="0,0,0,0">
              <w:txbxContent>
                <w:p>
                  <w:pPr>
                    <w:pStyle w:val="BodyText"/>
                    <w:spacing w:before="64"/>
                    <w:ind w:left="2603" w:right="2601"/>
                    <w:jc w:val="center"/>
                  </w:pPr>
                  <w:r>
                    <w:rPr>
                      <w:color w:val="DDDDDD"/>
                    </w:rPr>
                    <w:t>乾隆大藏经·大乘论·能断金刚般若波罗蜜多经论颂</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0"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2" w:hanging="369"/>
      </w:pPr>
      <w:rPr>
        <w:rFonts w:hint="default"/>
        <w:lang w:val="zh-CN" w:eastAsia="zh-CN" w:bidi="zh-CN"/>
      </w:rPr>
    </w:lvl>
    <w:lvl w:ilvl="2">
      <w:start w:val="0"/>
      <w:numFmt w:val="bullet"/>
      <w:lvlText w:val="•"/>
      <w:lvlJc w:val="left"/>
      <w:pPr>
        <w:ind w:left="1124" w:hanging="369"/>
      </w:pPr>
      <w:rPr>
        <w:rFonts w:hint="default"/>
        <w:lang w:val="zh-CN" w:eastAsia="zh-CN" w:bidi="zh-CN"/>
      </w:rPr>
    </w:lvl>
    <w:lvl w:ilvl="3">
      <w:start w:val="0"/>
      <w:numFmt w:val="bullet"/>
      <w:lvlText w:val="•"/>
      <w:lvlJc w:val="left"/>
      <w:pPr>
        <w:ind w:left="1436" w:hanging="369"/>
      </w:pPr>
      <w:rPr>
        <w:rFonts w:hint="default"/>
        <w:lang w:val="zh-CN" w:eastAsia="zh-CN" w:bidi="zh-CN"/>
      </w:rPr>
    </w:lvl>
    <w:lvl w:ilvl="4">
      <w:start w:val="0"/>
      <w:numFmt w:val="bullet"/>
      <w:lvlText w:val="•"/>
      <w:lvlJc w:val="left"/>
      <w:pPr>
        <w:ind w:left="1748" w:hanging="369"/>
      </w:pPr>
      <w:rPr>
        <w:rFonts w:hint="default"/>
        <w:lang w:val="zh-CN" w:eastAsia="zh-CN" w:bidi="zh-CN"/>
      </w:rPr>
    </w:lvl>
    <w:lvl w:ilvl="5">
      <w:start w:val="0"/>
      <w:numFmt w:val="bullet"/>
      <w:lvlText w:val="•"/>
      <w:lvlJc w:val="left"/>
      <w:pPr>
        <w:ind w:left="2060" w:hanging="369"/>
      </w:pPr>
      <w:rPr>
        <w:rFonts w:hint="default"/>
        <w:lang w:val="zh-CN" w:eastAsia="zh-CN" w:bidi="zh-CN"/>
      </w:rPr>
    </w:lvl>
    <w:lvl w:ilvl="6">
      <w:start w:val="0"/>
      <w:numFmt w:val="bullet"/>
      <w:lvlText w:val="•"/>
      <w:lvlJc w:val="left"/>
      <w:pPr>
        <w:ind w:left="2372" w:hanging="369"/>
      </w:pPr>
      <w:rPr>
        <w:rFonts w:hint="default"/>
        <w:lang w:val="zh-CN" w:eastAsia="zh-CN" w:bidi="zh-CN"/>
      </w:rPr>
    </w:lvl>
    <w:lvl w:ilvl="7">
      <w:start w:val="0"/>
      <w:numFmt w:val="bullet"/>
      <w:lvlText w:val="•"/>
      <w:lvlJc w:val="left"/>
      <w:pPr>
        <w:ind w:left="2684" w:hanging="369"/>
      </w:pPr>
      <w:rPr>
        <w:rFonts w:hint="default"/>
        <w:lang w:val="zh-CN" w:eastAsia="zh-CN" w:bidi="zh-CN"/>
      </w:rPr>
    </w:lvl>
    <w:lvl w:ilvl="8">
      <w:start w:val="0"/>
      <w:numFmt w:val="bullet"/>
      <w:lvlText w:val="•"/>
      <w:lvlJc w:val="left"/>
      <w:pPr>
        <w:ind w:left="2996"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03" w:hanging="369"/>
      </w:pPr>
      <w:rPr>
        <w:rFonts w:hint="default"/>
        <w:lang w:val="zh-CN" w:eastAsia="zh-CN" w:bidi="zh-CN"/>
      </w:rPr>
    </w:lvl>
    <w:lvl w:ilvl="2">
      <w:start w:val="0"/>
      <w:numFmt w:val="bullet"/>
      <w:lvlText w:val="•"/>
      <w:lvlJc w:val="left"/>
      <w:pPr>
        <w:ind w:left="1486" w:hanging="369"/>
      </w:pPr>
      <w:rPr>
        <w:rFonts w:hint="default"/>
        <w:lang w:val="zh-CN" w:eastAsia="zh-CN" w:bidi="zh-CN"/>
      </w:rPr>
    </w:lvl>
    <w:lvl w:ilvl="3">
      <w:start w:val="0"/>
      <w:numFmt w:val="bullet"/>
      <w:lvlText w:val="•"/>
      <w:lvlJc w:val="left"/>
      <w:pPr>
        <w:ind w:left="1769" w:hanging="369"/>
      </w:pPr>
      <w:rPr>
        <w:rFonts w:hint="default"/>
        <w:lang w:val="zh-CN" w:eastAsia="zh-CN" w:bidi="zh-CN"/>
      </w:rPr>
    </w:lvl>
    <w:lvl w:ilvl="4">
      <w:start w:val="0"/>
      <w:numFmt w:val="bullet"/>
      <w:lvlText w:val="•"/>
      <w:lvlJc w:val="left"/>
      <w:pPr>
        <w:ind w:left="2052" w:hanging="369"/>
      </w:pPr>
      <w:rPr>
        <w:rFonts w:hint="default"/>
        <w:lang w:val="zh-CN" w:eastAsia="zh-CN" w:bidi="zh-CN"/>
      </w:rPr>
    </w:lvl>
    <w:lvl w:ilvl="5">
      <w:start w:val="0"/>
      <w:numFmt w:val="bullet"/>
      <w:lvlText w:val="•"/>
      <w:lvlJc w:val="left"/>
      <w:pPr>
        <w:ind w:left="2336" w:hanging="369"/>
      </w:pPr>
      <w:rPr>
        <w:rFonts w:hint="default"/>
        <w:lang w:val="zh-CN" w:eastAsia="zh-CN" w:bidi="zh-CN"/>
      </w:rPr>
    </w:lvl>
    <w:lvl w:ilvl="6">
      <w:start w:val="0"/>
      <w:numFmt w:val="bullet"/>
      <w:lvlText w:val="•"/>
      <w:lvlJc w:val="left"/>
      <w:pPr>
        <w:ind w:left="2619" w:hanging="369"/>
      </w:pPr>
      <w:rPr>
        <w:rFonts w:hint="default"/>
        <w:lang w:val="zh-CN" w:eastAsia="zh-CN" w:bidi="zh-CN"/>
      </w:rPr>
    </w:lvl>
    <w:lvl w:ilvl="7">
      <w:start w:val="0"/>
      <w:numFmt w:val="bullet"/>
      <w:lvlText w:val="•"/>
      <w:lvlJc w:val="left"/>
      <w:pPr>
        <w:ind w:left="2902" w:hanging="369"/>
      </w:pPr>
      <w:rPr>
        <w:rFonts w:hint="default"/>
        <w:lang w:val="zh-CN" w:eastAsia="zh-CN" w:bidi="zh-CN"/>
      </w:rPr>
    </w:lvl>
    <w:lvl w:ilvl="8">
      <w:start w:val="0"/>
      <w:numFmt w:val="bullet"/>
      <w:lvlText w:val="•"/>
      <w:lvlJc w:val="left"/>
      <w:pPr>
        <w:ind w:left="3185"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right="7204"/>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00.htm" TargetMode="External"/><Relationship Id="rId6" Type="http://schemas.openxmlformats.org/officeDocument/2006/relationships/hyperlink" Target="http://qldzj.com/htmljw/120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2019-12-18T12:43:14Z</dcterms:created>
  <dcterms:modified xsi:type="dcterms:W3CDTF">2019-12-18T12:43:14Z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