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404"/>
        <w:gridCol w:w="3759"/>
      </w:tblGrid>
      <w:tr>
        <w:trPr>
          <w:trHeight w:val="748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大乘论·第1206部</w:t>
            </w: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大乘百法明门论一卷</w:t>
            </w:r>
          </w:p>
        </w:tc>
        <w:tc>
          <w:tcPr>
            <w:tcW w:w="375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天亲菩萨造唐三藏法师玄奘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奉诏译</w:t>
            </w:r>
          </w:p>
        </w:tc>
      </w:tr>
      <w:tr>
        <w:trPr>
          <w:trHeight w:val="1421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13" w:lineRule="auto"/>
              <w:ind w:left="543" w:right="290"/>
              <w:rPr>
                <w:sz w:val="24"/>
              </w:rPr>
            </w:pPr>
            <w:r>
              <w:rPr>
                <w:color w:val="FF3300"/>
                <w:sz w:val="24"/>
              </w:rPr>
              <w:t>大乘百法明门论(本事分中略录名数)</w:t>
            </w:r>
          </w:p>
        </w:tc>
        <w:tc>
          <w:tcPr>
            <w:tcW w:w="340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75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18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347" w:hRule="atLeast"/>
        </w:trPr>
        <w:tc>
          <w:tcPr>
            <w:tcW w:w="1078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5" w:right="3434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大乘百法明门论(本事分中略录名数)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如世尊言。一切法无我。何等一切法。云何为无我。一切法者。略有五种。一者心法。二者心所有法。三者色法。四者心不相应行法。五者无为法。一切最胜故。与此相应故。二所现影 故。三分位差别故。四所显示故。如是次第。第一心法略有八种。一眼识。二耳识。三鼻识。四舌识。五身识。六意识。七末那识。八阿赖耶识。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第二心所有法。略有五十一种。分为六位。一遍行有五。二别境有五。三善有十一。四烦恼有六。五随烦恼有二十。六不定有四。一遍行五者。一作意二触三受四想五思。二别境五者。一欲二胜解三念四定五慧。三善十一者。一信二精进。三惭四愧。五无贪六无嗔七无痴。八轻安九不放逸十行舍十一不害。四烦恼六者。一贪二嗔。三慢四无明。五疑六不正见。五随烦恼二十 者。一忿二恨。三恼四覆。五诳六谄。七憍八害。九嫉十悭。十一无惭十二无愧。十三不信十四懈怠。十五放逸十六惛沈。十七掉举十八失念。十九不正知二十散乱。六不定四者。一睡眠二恶作。三寻四伺。</w:t>
            </w:r>
          </w:p>
          <w:p>
            <w:pPr>
              <w:pStyle w:val="TableParagraph"/>
              <w:spacing w:before="162"/>
              <w:ind w:left="808"/>
              <w:rPr>
                <w:sz w:val="24"/>
              </w:rPr>
            </w:pPr>
            <w:r>
              <w:rPr>
                <w:sz w:val="24"/>
              </w:rPr>
              <w:t>第三色法。略有十一种。一眼二耳三鼻四舌五身。六色七声八香九味十触。十一法处所摄</w:t>
            </w:r>
          </w:p>
          <w:p>
            <w:pPr>
              <w:pStyle w:val="TableParagraph"/>
              <w:spacing w:before="157"/>
              <w:ind w:left="327"/>
              <w:rPr>
                <w:sz w:val="24"/>
              </w:rPr>
            </w:pPr>
            <w:r>
              <w:rPr>
                <w:sz w:val="24"/>
              </w:rPr>
              <w:t>色。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第四心不相应行法。略有二十四种。一得二命根。三众同分。四异生性。五无想定。六灭尽定。七无想报。八名身九句身十文身。十一生十二老。十三住十四无常。十五流转。十六定异。十七相应。十八势速。十九次第。二十方。二十一时。二十二数。二十三和合性。二十四不和合性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第五无为法者。略有六种。一虚空无为。二择灭无为。三非择灭无为。四不动灭无为。五想受灭无为。六真如无为。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言无我者。略有二种。一补特伽罗无我。二法无我。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24" w:lineRule="auto"/>
              <w:ind w:left="751" w:right="496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上一部：乾隆大藏经·大乘论·壹输卢迦论一卷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下一部：乾隆大藏经·大乘论·转识论一卷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720.97760pt;width:3.25pt;height:3.25pt;mso-position-horizontal-relative:page;mso-position-vertical-relative:page;z-index:-251747328" coordorigin="1253,14420" coordsize="65,65" path="m1285,14484l1271,14482,1261,14476,1255,14466,1253,14452,1255,14438,1261,14428,1271,14422,1285,14420,1299,14422,1309,14428,1315,14438,1317,14452,1315,14466,1309,14476,1299,14482,1285,144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741.800964pt;width:3.25pt;height:3.25pt;mso-position-horizontal-relative:page;mso-position-vertical-relative:page;z-index:-251746304" coordorigin="1253,14836" coordsize="65,65" path="m1285,14900l1271,14898,1261,14892,1255,14882,1253,14868,1255,14854,1261,14844,1271,14838,1285,14836,1299,14838,1309,14844,1315,14854,1317,14868,1315,14882,1309,14892,1299,14898,1285,14900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580" w:right="640"/>
        </w:sectPr>
      </w:pPr>
    </w:p>
    <w:p>
      <w:pPr>
        <w:tabs>
          <w:tab w:pos="10892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46.250633pt;width:539.050pt;height:22.45pt;mso-position-horizontal-relative:page;mso-position-vertical-relative:page;z-index:251662336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DDDDDD"/>
                    </w:rPr>
                    <w:t>乾隆大藏经·大乘论·大乘百法明门论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Times New Roman"/>
          <w:sz w:val="20"/>
        </w:rPr>
        <w:pict>
          <v:group style="width:.85pt;height:16.850pt;mso-position-horizontal-relative:char;mso-position-vertical-relative:line" coordorigin="0,0" coordsize="17,337">
            <v:line style="position:absolute" from="8,0" to="8,337" stroked="true" strokeweight=".80090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.85pt;height:16.850pt;mso-position-horizontal-relative:char;mso-position-vertical-relative:line" coordorigin="0,0" coordsize="17,337">
            <v:line style="position:absolute" from="8,0" to="8,337" stroked="true" strokeweight=".80090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9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6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4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2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9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7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5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64"/>
      <w:ind w:left="3323" w:right="3321"/>
      <w:jc w:val="center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05.htm" TargetMode="External"/><Relationship Id="rId6" Type="http://schemas.openxmlformats.org/officeDocument/2006/relationships/hyperlink" Target="http://qldzj.com/htmljw/120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2019-12-18T12:59:13Z</dcterms:created>
  <dcterms:modified xsi:type="dcterms:W3CDTF">2019-12-18T12:59:13Z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