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1208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唯识三十论一卷</w:t>
              <w:tab/>
            </w:r>
            <w:r>
              <w:rPr>
                <w:color w:val="DDDDDD"/>
                <w:sz w:val="24"/>
              </w:rPr>
              <w:t>世亲菩萨造唐三藏法师玄</w:t>
            </w:r>
            <w:r>
              <w:rPr>
                <w:color w:val="DDDDDD"/>
                <w:spacing w:val="-14"/>
                <w:sz w:val="24"/>
              </w:rPr>
              <w:t>奘</w:t>
            </w:r>
            <w:r>
              <w:rPr>
                <w:color w:val="DDDDDD"/>
                <w:sz w:val="24"/>
              </w:rPr>
              <w:t>奉诏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唯识三十论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唯识三十论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护法等菩萨。约此三十颂造成唯识。今略标所以。谓此三十颂中。初二十四行颂明唯识相。次一行颂明唯识性。后五行颂明唯识行位。就二十四行颂中。初一行半略辩唯识相。次二十二行半广辩唯识相。谓外问言。若唯有识。云何世间及诸圣教说有我法。举颂詶答颂曰。</w:t>
            </w:r>
          </w:p>
          <w:p>
            <w:pPr>
              <w:pStyle w:val="TableParagraph"/>
              <w:spacing w:line="362" w:lineRule="auto" w:before="161"/>
              <w:ind w:right="7066"/>
              <w:jc w:val="both"/>
              <w:rPr>
                <w:sz w:val="24"/>
              </w:rPr>
            </w:pPr>
            <w:r>
              <w:rPr>
                <w:sz w:val="24"/>
              </w:rPr>
              <w:t>由假说我法   有种种相转彼依识所变   此能变唯三谓异熟思量 及了别境识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次二十二行半广辩唯识相者。由前颂文略标三能变。今广明三变相。且初能变其相云何。颂</w:t>
            </w:r>
          </w:p>
          <w:p>
            <w:pPr>
              <w:pStyle w:val="TableParagraph"/>
              <w:spacing w:before="157"/>
              <w:ind w:left="327"/>
              <w:rPr>
                <w:sz w:val="24"/>
              </w:rPr>
            </w:pPr>
            <w:r>
              <w:rPr>
                <w:sz w:val="24"/>
              </w:rPr>
              <w:t>曰。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7066"/>
              <w:jc w:val="both"/>
              <w:rPr>
                <w:sz w:val="24"/>
              </w:rPr>
            </w:pPr>
            <w:r>
              <w:rPr>
                <w:sz w:val="24"/>
              </w:rPr>
              <w:t>初阿赖耶识   异熟一切种不可知执受   处了常与触作意受想思   相应唯舍受是无覆无记   触等亦如是恒转如瀑流 阿罗汉位舍</w:t>
            </w:r>
          </w:p>
          <w:p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已说初能变。第二能变其相云何。颂曰。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7066"/>
              <w:jc w:val="both"/>
              <w:rPr>
                <w:sz w:val="24"/>
              </w:rPr>
            </w:pPr>
            <w:r>
              <w:rPr>
                <w:sz w:val="24"/>
              </w:rPr>
              <w:t>次第二能变   是识名末那依彼转缘彼   思量为性相四烦恼常俱   谓我痴我见并我慢我爱   及余触等俱有覆无记摄   随所生所系阿罗汉灭定 出世道无有</w:t>
            </w:r>
          </w:p>
          <w:p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如是已说第二能变。第三能变其相云何。颂曰。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460" w:lineRule="atLeast" w:before="164"/>
              <w:ind w:right="7066"/>
              <w:rPr>
                <w:sz w:val="24"/>
              </w:rPr>
            </w:pPr>
            <w:r>
              <w:rPr>
                <w:sz w:val="24"/>
              </w:rPr>
              <w:t>次第三能变</w:t>
              <w:tab/>
              <w:t>差别有六</w:t>
            </w:r>
            <w:r>
              <w:rPr>
                <w:spacing w:val="-15"/>
                <w:sz w:val="24"/>
              </w:rPr>
              <w:t>种</w:t>
            </w:r>
            <w:r>
              <w:rPr>
                <w:sz w:val="24"/>
              </w:rPr>
              <w:t>了境为性相</w:t>
              <w:tab/>
              <w:t>善不善俱</w:t>
            </w:r>
            <w:r>
              <w:rPr>
                <w:spacing w:val="-15"/>
                <w:sz w:val="24"/>
              </w:rPr>
              <w:t>非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7"/>
        <w:ind w:right="7204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此心所遍行   别境善烦恼随烦恼不定   皆三受相应初遍行触等   次别境谓欲胜解念定慧   所缘事不同善谓信惭愧   无贪等三根勤安不放逸   行舍及不害烦恼谓贪嗔   痴慢疑恶见随烦恼谓忿   恨覆恼嫉悭诳谄与害憍   无惭及无愧掉举与惛沈   不信并懈怠放逸及失念   散乱不正知不定谓悔眠 寻伺二各二</w:t>
      </w:r>
    </w:p>
    <w:p>
      <w:pPr>
        <w:pStyle w:val="BodyText"/>
        <w:spacing w:before="156"/>
      </w:pPr>
      <w:r>
        <w:rPr/>
        <w:t>已说六识心所相应。云何应知现起分位。颂曰。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204"/>
        <w:jc w:val="both"/>
      </w:pPr>
      <w:r>
        <w:rPr/>
        <w:t>依止根本识   五识随缘现或俱或不俱   如涛波依水意识常现起   除生无想天及无心二定 睡眠与闷绝</w:t>
      </w:r>
    </w:p>
    <w:p>
      <w:pPr>
        <w:pStyle w:val="BodyText"/>
        <w:spacing w:line="362" w:lineRule="auto" w:before="161"/>
        <w:ind w:left="449" w:right="477" w:firstLine="480"/>
      </w:pPr>
      <w:r>
        <w:rPr/>
        <w:t>已广分别三能变相为自所变。二分所依云何应知依识所变假说我法非别实有。由斯一切唯有识耶。颂曰。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是诸识转变</w:t>
        <w:tab/>
        <w:t>分别所分</w:t>
      </w:r>
      <w:r>
        <w:rPr>
          <w:spacing w:val="-16"/>
        </w:rPr>
        <w:t>别</w:t>
      </w:r>
      <w:r>
        <w:rPr/>
        <w:t>由此彼皆无</w:t>
        <w:tab/>
        <w:t>故一切唯</w:t>
      </w:r>
      <w:r>
        <w:rPr>
          <w:spacing w:val="-16"/>
        </w:rPr>
        <w:t>识</w:t>
      </w:r>
    </w:p>
    <w:p>
      <w:pPr>
        <w:pStyle w:val="BodyText"/>
        <w:spacing w:before="161"/>
      </w:pPr>
      <w:r>
        <w:rPr/>
        <w:t>若唯有识都无外缘。由何而生。种种分别。颂曰。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由一切种识</w:t>
        <w:tab/>
        <w:t>如是如是</w:t>
      </w:r>
      <w:r>
        <w:rPr>
          <w:spacing w:val="-16"/>
        </w:rPr>
        <w:t>变</w:t>
      </w:r>
      <w:r>
        <w:rPr/>
        <w:t>以展转力故</w:t>
        <w:tab/>
        <w:t>彼彼分别</w:t>
      </w:r>
      <w:r>
        <w:rPr>
          <w:spacing w:val="-16"/>
        </w:rPr>
        <w:t>生</w:t>
      </w:r>
    </w:p>
    <w:p>
      <w:pPr>
        <w:pStyle w:val="BodyText"/>
        <w:spacing w:before="176"/>
      </w:pPr>
      <w:r>
        <w:rPr/>
        <w:t>虽有内识而无外缘。由何有情生死相续。颂曰。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由诸业习气</w:t>
        <w:tab/>
        <w:t>二取习气</w:t>
      </w:r>
      <w:r>
        <w:rPr>
          <w:spacing w:val="-16"/>
        </w:rPr>
        <w:t>俱</w:t>
      </w:r>
      <w:r>
        <w:rPr/>
        <w:t>前异熟既尽</w:t>
        <w:tab/>
        <w:t>复生余异</w:t>
      </w:r>
      <w:r>
        <w:rPr>
          <w:spacing w:val="-16"/>
        </w:rPr>
        <w:t>熟</w:t>
      </w:r>
    </w:p>
    <w:p>
      <w:pPr>
        <w:pStyle w:val="BodyText"/>
        <w:spacing w:before="161"/>
      </w:pPr>
      <w:r>
        <w:rPr/>
        <w:t>若唯有识。何故世尊处处经中说有三性。应知三性亦不离识。所以者何。颂曰。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7204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由彼彼遍计   遍计种种物此遍计所执   自性无所有依他起自性   分别缘所生圆成实于彼   常远离前性故此与依他   非异非不异如无常等性 非不见此彼</w:t>
      </w:r>
    </w:p>
    <w:p>
      <w:pPr>
        <w:pStyle w:val="BodyText"/>
        <w:spacing w:before="162"/>
      </w:pPr>
      <w:r>
        <w:rPr/>
        <w:t>若有三性。如何世尊说一切法皆无自性。颂曰。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204"/>
        <w:jc w:val="both"/>
      </w:pPr>
      <w:r>
        <w:rPr>
          <w:spacing w:val="-2"/>
        </w:rPr>
        <w:t>即依此三性   立彼三无性故佛密意说   一切法无性初即相无性   次无自然性后由远离前   所执我法性此诸法胜义   亦即是真如</w:t>
      </w:r>
      <w:r>
        <w:rPr>
          <w:spacing w:val="-1"/>
        </w:rPr>
        <w:t>常如其性故    即唯识实性</w:t>
      </w:r>
    </w:p>
    <w:p>
      <w:pPr>
        <w:pStyle w:val="BodyText"/>
        <w:spacing w:line="362" w:lineRule="auto" w:before="162"/>
        <w:ind w:left="449" w:right="477" w:firstLine="480"/>
      </w:pPr>
      <w:r>
        <w:rPr/>
        <w:t>后五行颂明唯识行位者。论曰。如是所成唯识性相。谁依几位如何悟入。谓具大乘二种种 性。一本性种性。谓无始来依附本识法尔。所得无漏法因。二谓习所成种性。谓闻法界等流法 已。闻所成等熏习所成。具此二性方能悟入。何谓五位。一资粮位。谓修大乘顺解脱分。依识性相能深信解。其相云何。颂曰。</w:t>
      </w:r>
    </w:p>
    <w:p>
      <w:pPr>
        <w:pStyle w:val="BodyText"/>
        <w:tabs>
          <w:tab w:pos="2612" w:val="left" w:leader="none"/>
        </w:tabs>
        <w:spacing w:line="362" w:lineRule="auto" w:before="161"/>
        <w:ind w:right="7204"/>
      </w:pPr>
      <w:r>
        <w:rPr/>
        <w:t>乃至未起识</w:t>
        <w:tab/>
        <w:t>求住唯识</w:t>
      </w:r>
      <w:r>
        <w:rPr>
          <w:spacing w:val="-16"/>
        </w:rPr>
        <w:t>性</w:t>
      </w:r>
      <w:r>
        <w:rPr/>
        <w:t>于二取随眠</w:t>
        <w:tab/>
        <w:t>犹未能伏</w:t>
      </w:r>
      <w:r>
        <w:rPr>
          <w:spacing w:val="-16"/>
        </w:rPr>
        <w:t>灭</w:t>
      </w:r>
    </w:p>
    <w:p>
      <w:pPr>
        <w:pStyle w:val="BodyText"/>
        <w:spacing w:before="160"/>
      </w:pPr>
      <w:r>
        <w:rPr/>
        <w:t>二加行位。谓修大乘顺决择分。在加行位能渐伏除所取能取。其相云何。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现前立少物</w:t>
        <w:tab/>
        <w:t>谓是唯识</w:t>
      </w:r>
      <w:r>
        <w:rPr>
          <w:spacing w:val="-16"/>
        </w:rPr>
        <w:t>性</w:t>
      </w:r>
      <w:r>
        <w:rPr/>
        <w:t>以有所得故</w:t>
        <w:tab/>
        <w:t>非实住唯</w:t>
      </w:r>
      <w:r>
        <w:rPr>
          <w:spacing w:val="-16"/>
        </w:rPr>
        <w:t>识</w:t>
      </w:r>
    </w:p>
    <w:p>
      <w:pPr>
        <w:pStyle w:val="BodyText"/>
        <w:spacing w:before="177"/>
      </w:pPr>
      <w:r>
        <w:rPr/>
        <w:t>三通达位。谓诸菩萨所住见道。在通达位如实通达。其相云何。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若时于所缘</w:t>
        <w:tab/>
        <w:t>智都无所</w:t>
      </w:r>
      <w:r>
        <w:rPr>
          <w:spacing w:val="-16"/>
        </w:rPr>
        <w:t>得</w:t>
      </w:r>
      <w:r>
        <w:rPr/>
        <w:t>尔时住唯识</w:t>
        <w:tab/>
        <w:t>离二取相</w:t>
      </w:r>
      <w:r>
        <w:rPr>
          <w:spacing w:val="-16"/>
        </w:rPr>
        <w:t>故</w:t>
      </w:r>
    </w:p>
    <w:p>
      <w:pPr>
        <w:pStyle w:val="BodyText"/>
        <w:spacing w:before="161"/>
      </w:pPr>
      <w:r>
        <w:rPr/>
        <w:t>四修习位。谓诸菩萨所住修道。修习位中如实见理数数修习。其相云何。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无得不思议</w:t>
        <w:tab/>
        <w:t>是出世间</w:t>
      </w:r>
      <w:r>
        <w:rPr>
          <w:spacing w:val="-16"/>
        </w:rPr>
        <w:t>智</w:t>
      </w:r>
      <w:r>
        <w:rPr/>
        <w:t>舍二粗重故</w:t>
        <w:tab/>
        <w:t>便证得转</w:t>
      </w:r>
      <w:r>
        <w:rPr>
          <w:spacing w:val="-16"/>
        </w:rPr>
        <w:t>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</w:pPr>
      <w:r>
        <w:rPr/>
        <w:pict>
          <v:line style="position:absolute;mso-position-horizontal-relative:page;mso-position-vertical-relative:paragraph;z-index:251663360" from="574.012451pt,-.012176pt" to="574.012451pt,168.2709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4384" from="35.006748pt,-.012176pt" to="35.006748pt,168.270947pt" stroked="true" strokeweight=".80090pt" strokecolor="#000000">
            <v:stroke dashstyle="solid"/>
            <w10:wrap type="none"/>
          </v:line>
        </w:pict>
      </w:r>
      <w:r>
        <w:rPr/>
        <w:t>五究竟位。谓住无上正等菩提。出障圆明能尽未来化有情类。其相云何。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此即无漏界</w:t>
        <w:tab/>
        <w:t>不思议善</w:t>
      </w:r>
      <w:r>
        <w:rPr>
          <w:spacing w:val="-16"/>
        </w:rPr>
        <w:t>常</w:t>
      </w:r>
      <w:r>
        <w:rPr/>
        <w:t>安乐解脱身</w:t>
        <w:tab/>
        <w:t>大牟尼名</w:t>
      </w:r>
      <w:r>
        <w:rPr>
          <w:spacing w:val="-16"/>
        </w:rPr>
        <w:t>法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6"/>
        <w:ind w:left="873"/>
      </w:pPr>
      <w:r>
        <w:rPr/>
        <w:pict>
          <v:shape style="position:absolute;margin-left:62.637798pt;margin-top:10.494571pt;width:3.25pt;height:3.25pt;mso-position-horizontal-relative:page;mso-position-vertical-relative:paragraph;z-index:251665408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上一部：乾隆大藏经·大乘论·转识论一卷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545pt;width:3.25pt;height:3.25pt;mso-position-horizontal-relative:page;mso-position-vertical-relative:paragraph;z-index:251666432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下一部：乾隆大藏经·大乘论·因明入正理论一卷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82149pt;width:539.050pt;height:22.45pt;mso-position-horizontal-relative:page;mso-position-vertical-relative:paragraph;z-index:-25165414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563" w:right="3561"/>
                    <w:jc w:val="center"/>
                  </w:pPr>
                  <w:r>
                    <w:rPr>
                      <w:color w:val="DDDDDD"/>
                    </w:rPr>
                    <w:t>乾隆大藏经·大乘论·唯识三十论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7.htm" TargetMode="External"/><Relationship Id="rId6" Type="http://schemas.openxmlformats.org/officeDocument/2006/relationships/hyperlink" Target="http://qldzj.com/htmljw/120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2019-12-18T12:52:09Z</dcterms:created>
  <dcterms:modified xsi:type="dcterms:W3CDTF">2019-12-18T12:52:09Z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