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947" w:val="left" w:leader="none"/>
                <w:tab w:pos="8528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1225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略明般若末后一颂赞述一卷</w:t>
              <w:tab/>
            </w:r>
            <w:r>
              <w:rPr>
                <w:color w:val="DDDDDD"/>
                <w:sz w:val="24"/>
              </w:rPr>
              <w:t>唐三藏法师义净述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略明般若末后一颂赞述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69" w:right="41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略明般若末后一颂赞述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7295" w:val="left" w:leader="none"/>
              </w:tabs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义净因译无著菩萨般若颂释讫。详夫大士判其九喻。可谓文致幽深。理义玄简。自非地邻极喜。谁能发此明慧。而西域相承云。无著菩萨昔于睹史多天慈氏尊处。亲受此八十颂。开般若要门。顺瑜伽宗理。明唯识之义。遂令教流印度。若金乌之焰赫扶桑。义阐神州。等玉兔之光浮雪岭。然而能断金刚。西方乃有多释。考其始也此颂最先。即世亲大士躬为其释此。虽神州译讫。而义有阙如。故复亲核谈筵。重详其妙。雅符释意。更译本经。世亲菩萨复为般若七门义释。而那烂陀寺盛传其论。但为义府幽冲寻者莫测。有师子月法师造此论释。复有东印度多闻俗士其名月官。遍检诸家亦为义释。斯等莫不意符三性。不同中观矣。更有别释。而但顺龙猛。不会瑜 伽。瑜伽则真有俗无。以三性为本。中观乃真无俗有。寔二谛为先。般若大宗。含斯两意。致使东夏则道分南北。西方乃义隔有空。既识介纲。理无和杂。各准</w:t>
              <w:tab/>
              <w:t>圣旨诚难乖竞。然而末后一</w:t>
            </w:r>
            <w:r>
              <w:rPr>
                <w:spacing w:val="-14"/>
                <w:sz w:val="24"/>
              </w:rPr>
              <w:t>颂</w:t>
            </w:r>
            <w:r>
              <w:rPr>
                <w:sz w:val="24"/>
              </w:rPr>
              <w:t>云。一切有为法如星翳灯幻。露泡梦电云。应作如是观者。而释文既隐。恐寻者尚昧。辄因二九事喻。聊题十八之作。冀使朝览遂闲。庶罔销神之滞。夜光亲授。长无按剑之惑。然而见等九 事。即生死之区寰。大士了如星等。是故处而不着。智不住生津。媲红莲之在潋。悲不居圆寂。若白玉之沉溺。因答无住涅槃。申其九喻云尔。</w:t>
            </w:r>
          </w:p>
          <w:p>
            <w:pPr>
              <w:pStyle w:val="TableParagraph"/>
              <w:tabs>
                <w:tab w:pos="1528" w:val="left" w:leader="none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论见</w:t>
              <w:tab/>
              <w:t>观见如星长夜妄执。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"/>
              <w:ind w:right="7066"/>
              <w:rPr>
                <w:sz w:val="24"/>
              </w:rPr>
            </w:pPr>
            <w:r>
              <w:rPr>
                <w:sz w:val="24"/>
              </w:rPr>
              <w:t>见心长夜景</w:t>
              <w:tab/>
              <w:t>妄执久冥</w:t>
            </w:r>
            <w:r>
              <w:rPr>
                <w:spacing w:val="-15"/>
                <w:sz w:val="24"/>
              </w:rPr>
              <w:t>舒</w:t>
            </w:r>
            <w:r>
              <w:rPr>
                <w:sz w:val="24"/>
              </w:rPr>
              <w:t>三心才已发</w:t>
              <w:tab/>
              <w:t>两分尽皆</w:t>
            </w:r>
            <w:r>
              <w:rPr>
                <w:spacing w:val="-15"/>
                <w:sz w:val="24"/>
              </w:rPr>
              <w:t>除</w:t>
            </w:r>
          </w:p>
          <w:p>
            <w:pPr>
              <w:pStyle w:val="TableParagraph"/>
              <w:tabs>
                <w:tab w:pos="1528" w:val="left" w:leader="none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喻星</w:t>
              <w:tab/>
              <w:t>以星喻见夜有明无。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right="7066"/>
              <w:rPr>
                <w:sz w:val="24"/>
              </w:rPr>
            </w:pPr>
            <w:r>
              <w:rPr>
                <w:sz w:val="24"/>
              </w:rPr>
              <w:t>榆星通夜景</w:t>
              <w:tab/>
              <w:t>柳色彻明</w:t>
            </w:r>
            <w:r>
              <w:rPr>
                <w:spacing w:val="-15"/>
                <w:sz w:val="24"/>
              </w:rPr>
              <w:t>舒</w:t>
            </w:r>
            <w:r>
              <w:rPr>
                <w:sz w:val="24"/>
              </w:rPr>
              <w:t>千条光若发</w:t>
              <w:tab/>
              <w:t>一旦尽皆</w:t>
            </w:r>
            <w:r>
              <w:rPr>
                <w:spacing w:val="-15"/>
                <w:sz w:val="24"/>
              </w:rPr>
              <w:t>除</w:t>
            </w:r>
          </w:p>
          <w:p>
            <w:pPr>
              <w:pStyle w:val="TableParagraph"/>
              <w:tabs>
                <w:tab w:pos="1528" w:val="left" w:leader="none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论境</w:t>
              <w:tab/>
              <w:t>道境如翳妄睹空花。</w:t>
            </w:r>
          </w:p>
          <w:p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right="7066"/>
              <w:rPr>
                <w:sz w:val="24"/>
              </w:rPr>
            </w:pPr>
            <w:r>
              <w:rPr>
                <w:sz w:val="24"/>
              </w:rPr>
              <w:t>境色无非障</w:t>
              <w:tab/>
              <w:t>妄有见尘</w:t>
            </w:r>
            <w:r>
              <w:rPr>
                <w:spacing w:val="-15"/>
                <w:sz w:val="24"/>
              </w:rPr>
              <w:t>瑕</w:t>
            </w:r>
            <w:r>
              <w:rPr>
                <w:sz w:val="24"/>
              </w:rPr>
              <w:t>但由真智力</w:t>
              <w:tab/>
              <w:t>不复睹狂</w:t>
            </w:r>
            <w:r>
              <w:rPr>
                <w:spacing w:val="-15"/>
                <w:sz w:val="24"/>
              </w:rPr>
              <w:t>花</w:t>
            </w:r>
          </w:p>
          <w:p>
            <w:pPr>
              <w:pStyle w:val="TableParagraph"/>
              <w:tabs>
                <w:tab w:pos="1528" w:val="left" w:leader="none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喻翳</w:t>
              <w:tab/>
              <w:t>以翳喻境元无妄执。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1"/>
        <w:ind w:right="7204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太虚本无障</w:t>
        <w:tab/>
        <w:t>净境性亡</w:t>
      </w:r>
      <w:r>
        <w:rPr>
          <w:spacing w:val="-16"/>
        </w:rPr>
        <w:t>瑕</w:t>
      </w:r>
      <w:r>
        <w:rPr/>
        <w:t>但由翳眼力</w:t>
        <w:tab/>
        <w:t>遂使见空</w:t>
      </w:r>
      <w:r>
        <w:rPr>
          <w:spacing w:val="-16"/>
        </w:rPr>
        <w:t>花</w:t>
      </w:r>
    </w:p>
    <w:p>
      <w:pPr>
        <w:pStyle w:val="BodyText"/>
        <w:tabs>
          <w:tab w:pos="1651" w:val="left" w:leader="none"/>
        </w:tabs>
        <w:spacing w:before="160"/>
      </w:pPr>
      <w:r>
        <w:rPr/>
        <w:t>论识</w:t>
        <w:tab/>
        <w:t>言识如灯生生不绝。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见起起不已</w:t>
        <w:tab/>
        <w:t>妄生生未</w:t>
      </w:r>
      <w:r>
        <w:rPr>
          <w:spacing w:val="-16"/>
        </w:rPr>
        <w:t>极</w:t>
      </w:r>
      <w:r>
        <w:rPr/>
        <w:t>留滞死宫中</w:t>
        <w:tab/>
        <w:t>良由依识</w:t>
      </w:r>
      <w:r>
        <w:rPr>
          <w:spacing w:val="-16"/>
        </w:rPr>
        <w:t>力</w:t>
      </w:r>
    </w:p>
    <w:p>
      <w:pPr>
        <w:pStyle w:val="BodyText"/>
        <w:tabs>
          <w:tab w:pos="1651" w:val="left" w:leader="none"/>
        </w:tabs>
        <w:spacing w:before="161"/>
      </w:pPr>
      <w:r>
        <w:rPr/>
        <w:t>喻灯</w:t>
        <w:tab/>
        <w:t>以灯喻识焰焰无穷。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发焰焰不已</w:t>
        <w:tab/>
        <w:t>舒光光未</w:t>
      </w:r>
      <w:r>
        <w:rPr>
          <w:spacing w:val="-16"/>
        </w:rPr>
        <w:t>极</w:t>
      </w:r>
      <w:r>
        <w:rPr/>
        <w:t>照灼炳宵中</w:t>
        <w:tab/>
        <w:t>良为膏油</w:t>
      </w:r>
      <w:r>
        <w:rPr>
          <w:spacing w:val="-16"/>
        </w:rPr>
        <w:t>力</w:t>
      </w:r>
    </w:p>
    <w:p>
      <w:pPr>
        <w:pStyle w:val="BodyText"/>
        <w:tabs>
          <w:tab w:pos="1651" w:val="left" w:leader="none"/>
        </w:tabs>
        <w:spacing w:before="161"/>
      </w:pPr>
      <w:r>
        <w:rPr/>
        <w:t>论界</w:t>
        <w:tab/>
        <w:t>说界如幻藉业生而会尽。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业功庄处巧</w:t>
        <w:tab/>
        <w:t>由惑生众</w:t>
      </w:r>
      <w:r>
        <w:rPr>
          <w:spacing w:val="-16"/>
        </w:rPr>
        <w:t>相</w:t>
      </w:r>
      <w:r>
        <w:rPr/>
        <w:t>所执定非真</w:t>
        <w:tab/>
        <w:t>界体全虚</w:t>
      </w:r>
      <w:r>
        <w:rPr>
          <w:spacing w:val="-16"/>
        </w:rPr>
        <w:t>妄</w:t>
      </w:r>
    </w:p>
    <w:p>
      <w:pPr>
        <w:pStyle w:val="BodyText"/>
        <w:tabs>
          <w:tab w:pos="1651" w:val="left" w:leader="none"/>
        </w:tabs>
        <w:spacing w:before="176"/>
      </w:pPr>
      <w:r>
        <w:rPr/>
        <w:t>喻幻</w:t>
        <w:tab/>
        <w:t>以幻喻界假匠起而终无。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幻师方便巧</w:t>
        <w:tab/>
        <w:t>假作众形</w:t>
      </w:r>
      <w:r>
        <w:rPr>
          <w:spacing w:val="-16"/>
        </w:rPr>
        <w:t>相</w:t>
      </w:r>
      <w:r>
        <w:rPr/>
        <w:t>鞠体固非真</w:t>
        <w:tab/>
        <w:t>所见皆虚</w:t>
      </w:r>
      <w:r>
        <w:rPr>
          <w:spacing w:val="-16"/>
        </w:rPr>
        <w:t>妄</w:t>
      </w:r>
    </w:p>
    <w:p>
      <w:pPr>
        <w:pStyle w:val="BodyText"/>
        <w:tabs>
          <w:tab w:pos="1651" w:val="left" w:leader="none"/>
        </w:tabs>
        <w:spacing w:before="160"/>
      </w:pPr>
      <w:r>
        <w:rPr/>
        <w:t>论身</w:t>
        <w:tab/>
        <w:t>序身如露体不久停。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投躯生巘际</w:t>
        <w:tab/>
        <w:t>寄命死河</w:t>
      </w:r>
      <w:r>
        <w:rPr>
          <w:spacing w:val="-16"/>
        </w:rPr>
        <w:t>中</w:t>
      </w:r>
      <w:r>
        <w:rPr/>
        <w:t>镇处飘飖夜</w:t>
        <w:tab/>
        <w:t>还如橐籥</w:t>
      </w:r>
      <w:r>
        <w:rPr>
          <w:spacing w:val="-16"/>
        </w:rPr>
        <w:t>风</w:t>
      </w:r>
    </w:p>
    <w:p>
      <w:pPr>
        <w:pStyle w:val="BodyText"/>
        <w:tabs>
          <w:tab w:pos="1651" w:val="left" w:leader="none"/>
        </w:tabs>
        <w:spacing w:before="161"/>
      </w:pPr>
      <w:r>
        <w:rPr/>
        <w:t>喻露</w:t>
        <w:tab/>
        <w:t>以露喻身逢风必落。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圆珠停草际</w:t>
        <w:tab/>
        <w:t>渧泪处华</w:t>
      </w:r>
      <w:r>
        <w:rPr>
          <w:spacing w:val="-16"/>
        </w:rPr>
        <w:t>中</w:t>
      </w:r>
      <w:r>
        <w:rPr/>
        <w:t>凄凄动林夜</w:t>
        <w:tab/>
        <w:t>索索尽随</w:t>
      </w:r>
      <w:r>
        <w:rPr>
          <w:spacing w:val="-16"/>
        </w:rPr>
        <w:t>风</w:t>
      </w:r>
    </w:p>
    <w:p>
      <w:pPr>
        <w:pStyle w:val="BodyText"/>
        <w:tabs>
          <w:tab w:pos="1891" w:val="left" w:leader="none"/>
        </w:tabs>
        <w:spacing w:before="161"/>
      </w:pPr>
      <w:r>
        <w:rPr/>
        <w:t>论受用</w:t>
        <w:tab/>
        <w:t>陈用如泡待根境识。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寰中根色积</w:t>
        <w:tab/>
        <w:t>托此复心</w:t>
      </w:r>
      <w:r>
        <w:rPr>
          <w:spacing w:val="-16"/>
        </w:rPr>
        <w:t>行</w:t>
      </w:r>
      <w:r>
        <w:rPr/>
        <w:t>寔由三触合</w:t>
        <w:tab/>
        <w:t>遂令三受</w:t>
      </w:r>
      <w:r>
        <w:rPr>
          <w:spacing w:val="-16"/>
        </w:rPr>
        <w:t>生</w:t>
      </w:r>
    </w:p>
    <w:p>
      <w:pPr>
        <w:pStyle w:val="BodyText"/>
        <w:tabs>
          <w:tab w:pos="1651" w:val="left" w:leader="none"/>
        </w:tabs>
        <w:spacing w:before="160"/>
      </w:pPr>
      <w:r>
        <w:rPr/>
        <w:t>喻泡</w:t>
        <w:tab/>
        <w:t>以泡喻用假渧水风。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池中平水积</w:t>
        <w:tab/>
        <w:t>渧坠有风</w:t>
      </w:r>
      <w:r>
        <w:rPr>
          <w:spacing w:val="-16"/>
        </w:rPr>
        <w:t>行</w:t>
      </w:r>
      <w:r>
        <w:rPr/>
        <w:t>但由三事合</w:t>
        <w:tab/>
        <w:t>乘使万泡</w:t>
      </w:r>
      <w:r>
        <w:rPr>
          <w:spacing w:val="-16"/>
        </w:rPr>
        <w:t>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1651" w:val="left" w:leader="none"/>
        </w:tabs>
        <w:spacing w:before="81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论过</w:t>
        <w:tab/>
        <w:t>述过如梦由思而起。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过去虽无境</w:t>
        <w:tab/>
        <w:t>寻思意尚</w:t>
      </w:r>
      <w:r>
        <w:rPr>
          <w:spacing w:val="-16"/>
        </w:rPr>
        <w:t>通</w:t>
      </w:r>
      <w:r>
        <w:rPr/>
        <w:t>遂令方寸内</w:t>
        <w:tab/>
        <w:t>还见九城</w:t>
      </w:r>
      <w:r>
        <w:rPr>
          <w:spacing w:val="-16"/>
        </w:rPr>
        <w:t>容</w:t>
      </w:r>
    </w:p>
    <w:p>
      <w:pPr>
        <w:pStyle w:val="BodyText"/>
        <w:tabs>
          <w:tab w:pos="1651" w:val="left" w:leader="none"/>
        </w:tabs>
        <w:spacing w:before="161"/>
      </w:pPr>
      <w:r>
        <w:rPr/>
        <w:t>喻梦</w:t>
        <w:tab/>
        <w:t>以梦喻过因忆乃生。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处昼多缘境</w:t>
        <w:tab/>
        <w:t>良宵记念</w:t>
      </w:r>
      <w:r>
        <w:rPr>
          <w:spacing w:val="-16"/>
        </w:rPr>
        <w:t>通</w:t>
      </w:r>
      <w:r>
        <w:rPr/>
        <w:t>遂令于睡内</w:t>
        <w:tab/>
        <w:t>重忆本时</w:t>
      </w:r>
      <w:r>
        <w:rPr>
          <w:spacing w:val="-16"/>
        </w:rPr>
        <w:t>容</w:t>
      </w:r>
    </w:p>
    <w:p>
      <w:pPr>
        <w:pStyle w:val="BodyText"/>
        <w:tabs>
          <w:tab w:pos="1651" w:val="left" w:leader="none"/>
        </w:tabs>
        <w:spacing w:before="161"/>
      </w:pPr>
      <w:r>
        <w:rPr/>
        <w:t>论现</w:t>
        <w:tab/>
        <w:t>谈现如电暂时而有。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万像如电野</w:t>
        <w:tab/>
        <w:t>四相等流</w:t>
      </w:r>
      <w:r>
        <w:rPr>
          <w:spacing w:val="-16"/>
        </w:rPr>
        <w:t>光</w:t>
      </w:r>
      <w:r>
        <w:rPr/>
        <w:t>讵知唯一念</w:t>
        <w:tab/>
        <w:t>妄计有三</w:t>
      </w:r>
      <w:r>
        <w:rPr>
          <w:spacing w:val="-16"/>
        </w:rPr>
        <w:t>常</w:t>
      </w:r>
    </w:p>
    <w:p>
      <w:pPr>
        <w:pStyle w:val="BodyText"/>
        <w:tabs>
          <w:tab w:pos="1651" w:val="left" w:leader="none"/>
        </w:tabs>
        <w:spacing w:before="160"/>
      </w:pPr>
      <w:r>
        <w:rPr/>
        <w:t>喻电</w:t>
        <w:tab/>
        <w:t>以电喻现</w:t>
      </w:r>
      <w:r>
        <w:rPr>
          <w:spacing w:val="8"/>
        </w:rPr>
        <w:t>[</w:t>
      </w:r>
      <w:r>
        <w:rPr/>
        <w:t>怤</w:t>
      </w:r>
      <w:r>
        <w:rPr>
          <w:spacing w:val="8"/>
        </w:rPr>
        <w:t>-</w:t>
      </w:r>
      <w:r>
        <w:rPr/>
        <w:t>寸</w:t>
      </w:r>
      <w:r>
        <w:rPr>
          <w:spacing w:val="8"/>
        </w:rPr>
        <w:t>+(</w:t>
      </w:r>
      <w:r>
        <w:rPr/>
        <w:t>ㄆ</w:t>
      </w:r>
      <w:r>
        <w:rPr>
          <w:spacing w:val="8"/>
        </w:rPr>
        <w:t>/</w:t>
      </w:r>
      <w:r>
        <w:rPr/>
        <w:t>火</w:t>
      </w:r>
      <w:r>
        <w:rPr>
          <w:spacing w:val="8"/>
        </w:rPr>
        <w:t>)]</w:t>
      </w:r>
      <w:r>
        <w:rPr/>
        <w:t>忽便亡。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震雷鸣四野</w:t>
        <w:tab/>
        <w:t>击电动千</w:t>
      </w:r>
      <w:r>
        <w:rPr>
          <w:spacing w:val="-16"/>
        </w:rPr>
        <w:t>光</w:t>
      </w:r>
      <w:r>
        <w:rPr/>
        <w:t>刹那存有念</w:t>
        <w:tab/>
        <w:t>即体自无</w:t>
      </w:r>
      <w:r>
        <w:rPr>
          <w:spacing w:val="-16"/>
        </w:rPr>
        <w:t>常</w:t>
      </w:r>
    </w:p>
    <w:p>
      <w:pPr>
        <w:pStyle w:val="BodyText"/>
        <w:tabs>
          <w:tab w:pos="1651" w:val="left" w:leader="none"/>
        </w:tabs>
        <w:spacing w:before="161"/>
      </w:pPr>
      <w:r>
        <w:rPr/>
        <w:t>论未</w:t>
        <w:tab/>
        <w:t>论未如云本识能持其种。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藏识无初结</w:t>
        <w:tab/>
        <w:t>波情浪后</w:t>
      </w:r>
      <w:r>
        <w:rPr>
          <w:spacing w:val="-16"/>
        </w:rPr>
        <w:t>飞</w:t>
      </w:r>
      <w:r>
        <w:rPr/>
        <w:t>良由有贪爱</w:t>
        <w:tab/>
        <w:t>带种定何</w:t>
      </w:r>
      <w:r>
        <w:rPr>
          <w:spacing w:val="-16"/>
        </w:rPr>
        <w:t>疑</w:t>
      </w:r>
    </w:p>
    <w:p>
      <w:pPr>
        <w:pStyle w:val="BodyText"/>
        <w:tabs>
          <w:tab w:pos="1651" w:val="left" w:leader="none"/>
        </w:tabs>
        <w:spacing w:before="160"/>
      </w:pPr>
      <w:r>
        <w:rPr/>
        <w:t>喻云</w:t>
        <w:tab/>
        <w:t>以云喻未自体必含于润。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叆叇屯云结</w:t>
        <w:tab/>
        <w:t>焕烂景风</w:t>
      </w:r>
      <w:r>
        <w:rPr>
          <w:spacing w:val="-16"/>
        </w:rPr>
        <w:t>飞</w:t>
      </w:r>
      <w:r>
        <w:rPr/>
        <w:t>光华如可爱</w:t>
        <w:tab/>
        <w:t>含润理无</w:t>
      </w:r>
      <w:r>
        <w:rPr>
          <w:spacing w:val="-16"/>
        </w:rPr>
        <w:t>疑</w:t>
      </w:r>
    </w:p>
    <w:p>
      <w:pPr>
        <w:pStyle w:val="BodyText"/>
        <w:spacing w:before="160"/>
      </w:pPr>
      <w:r>
        <w:rPr/>
        <w:t>更以一句收事收喻撮其要义而为一述。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6243"/>
        <w:jc w:val="both"/>
      </w:pPr>
      <w:r>
        <w:rPr>
          <w:spacing w:val="-1"/>
        </w:rPr>
        <w:t>见心智灭如星殄   惑境真亡若翳除想起由识如灯焰   界有藉思同幻车一身暂显同朝露   三受忽现等泡虚忆念过时空梦发   计执现存奔电舒既知雨润云中住    未种常依识藏居</w:t>
      </w:r>
    </w:p>
    <w:p>
      <w:pPr>
        <w:pStyle w:val="BodyText"/>
        <w:spacing w:line="487" w:lineRule="auto" w:before="161"/>
        <w:ind w:right="4321"/>
        <w:jc w:val="both"/>
      </w:pPr>
      <w:r>
        <w:rPr>
          <w:spacing w:val="-1"/>
        </w:rPr>
        <w:t>次下别据三性三身真俗般若。以明观行九喻解九事云。</w:t>
      </w:r>
      <w:r>
        <w:rPr/>
        <w:t>熟观生界咸如此 智者应可务真常</w:t>
      </w:r>
    </w:p>
    <w:p>
      <w:pPr>
        <w:spacing w:after="0" w:line="487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jc w:val="both"/>
      </w:pPr>
      <w:r>
        <w:rPr/>
        <w:pict>
          <v:line style="position:absolute;mso-position-horizontal-relative:page;mso-position-vertical-relative:paragraph;z-index:251663360" from="574.012451pt,-.024481pt" to="574.012451pt,229.92794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4384" from="35.006748pt,-.024481pt" to="35.006748pt,229.927941pt" stroked="true" strokeweight=".80090pt" strokecolor="#000000">
            <v:stroke dashstyle="solid"/>
            <w10:wrap type="none"/>
          </v:line>
        </w:pict>
      </w:r>
      <w:r>
        <w:rPr/>
        <w:t>真常实不玄    圆成在目前</w:t>
      </w:r>
    </w:p>
    <w:p>
      <w:pPr>
        <w:pStyle w:val="BodyText"/>
        <w:spacing w:line="362" w:lineRule="auto" w:before="157"/>
        <w:ind w:right="6243"/>
        <w:jc w:val="both"/>
      </w:pPr>
      <w:r>
        <w:rPr>
          <w:spacing w:val="-1"/>
        </w:rPr>
        <w:t>觉二体空蛇索尽   了一非无镜月悬镜月悬时实无虑   但作他缘生福处唯识初心乍有依   真如后念还无据</w:t>
      </w:r>
      <w:r>
        <w:rPr/>
        <w:t>无据即般若 胜俗亡真假</w:t>
      </w:r>
    </w:p>
    <w:p>
      <w:pPr>
        <w:pStyle w:val="BodyText"/>
        <w:spacing w:before="4"/>
        <w:jc w:val="both"/>
      </w:pPr>
      <w:r>
        <w:rPr/>
        <w:t>福津如筏捐不捐 悲智随生舍不舍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324" w:lineRule="auto" w:before="66"/>
        <w:ind w:left="873" w:right="3176"/>
      </w:pPr>
      <w:r>
        <w:rPr/>
        <w:pict>
          <v:shape style="position:absolute;margin-left:62.637798pt;margin-top:10.494557pt;width:3.25pt;height:3.25pt;mso-position-horizontal-relative:page;mso-position-vertical-relative:paragraph;z-index:251665408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57pt;width:3.25pt;height:3.25pt;mso-position-horizontal-relative:page;mso-position-vertical-relative:paragraph;z-index:251666432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上一部：乾隆大藏经·大乘论·能断金刚般若波罗蜜多经论释三卷</w:t>
        </w:r>
      </w:hyperlink>
      <w:hyperlink r:id="rId6">
        <w:r>
          <w:rPr>
            <w:color w:val="878787"/>
          </w:rPr>
          <w:t>下一部：乾隆大藏经·大乘论·妙法莲华经忧波提舍二卷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68947pt;width:539.050pt;height:22.45pt;mso-position-horizontal-relative:page;mso-position-vertical-relative:paragraph;z-index:-25165414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963" w:right="2961"/>
                    <w:jc w:val="center"/>
                  </w:pPr>
                  <w:r>
                    <w:rPr>
                      <w:color w:val="DDDDDD"/>
                    </w:rPr>
                    <w:t>乾隆大藏经·大乘论·略明般若末后一颂赞述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24.htm" TargetMode="External"/><Relationship Id="rId6" Type="http://schemas.openxmlformats.org/officeDocument/2006/relationships/hyperlink" Target="http://qldzj.com/htmljw/122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2019-12-18T13:02:26Z</dcterms:created>
  <dcterms:modified xsi:type="dcterms:W3CDTF">2019-12-18T13:02:26Z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