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2"/>
        <w:gridCol w:w="1359"/>
        <w:gridCol w:w="2274"/>
        <w:gridCol w:w="2036"/>
        <w:gridCol w:w="2682"/>
      </w:tblGrid>
      <w:tr>
        <w:trPr>
          <w:trHeight w:val="748" w:hRule="atLeast"/>
        </w:trPr>
        <w:tc>
          <w:tcPr>
            <w:tcW w:w="10783" w:type="dxa"/>
            <w:gridSpan w:val="5"/>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4548" w:val="left" w:leader="none"/>
                <w:tab w:pos="7567" w:val="left" w:leader="none"/>
              </w:tabs>
              <w:spacing w:line="213" w:lineRule="auto" w:before="113"/>
              <w:ind w:left="9730" w:right="310" w:hanging="9403"/>
              <w:jc w:val="right"/>
              <w:rPr>
                <w:sz w:val="24"/>
              </w:rPr>
            </w:pPr>
            <w:r>
              <w:rPr>
                <w:color w:val="DDDDDD"/>
                <w:sz w:val="24"/>
              </w:rPr>
              <w:t>大乘论·第</w:t>
            </w:r>
            <w:r>
              <w:rPr>
                <w:color w:val="DDDDDD"/>
                <w:spacing w:val="8"/>
                <w:sz w:val="24"/>
              </w:rPr>
              <w:t>1239</w:t>
            </w:r>
            <w:r>
              <w:rPr>
                <w:color w:val="DDDDDD"/>
                <w:sz w:val="24"/>
              </w:rPr>
              <w:t>部</w:t>
              <w:tab/>
            </w:r>
            <w:r>
              <w:rPr>
                <w:color w:val="EDFFFF"/>
                <w:sz w:val="24"/>
              </w:rPr>
              <w:t>辩中边论颂一卷</w:t>
              <w:tab/>
            </w:r>
            <w:r>
              <w:rPr>
                <w:color w:val="DDDDDD"/>
                <w:sz w:val="24"/>
              </w:rPr>
              <w:t>弥勒菩萨说唐三藏法师玄</w:t>
            </w:r>
            <w:r>
              <w:rPr>
                <w:color w:val="DDDDDD"/>
                <w:spacing w:val="-14"/>
                <w:sz w:val="24"/>
              </w:rPr>
              <w:t>奘</w:t>
            </w:r>
            <w:r>
              <w:rPr>
                <w:color w:val="DDDDDD"/>
                <w:sz w:val="24"/>
              </w:rPr>
              <w:t>奉诏</w:t>
            </w:r>
            <w:r>
              <w:rPr>
                <w:color w:val="DDDDDD"/>
                <w:spacing w:val="-17"/>
                <w:sz w:val="24"/>
              </w:rPr>
              <w:t>译</w:t>
            </w:r>
          </w:p>
        </w:tc>
      </w:tr>
      <w:tr>
        <w:trPr>
          <w:trHeight w:val="1693" w:hRule="atLeast"/>
        </w:trPr>
        <w:tc>
          <w:tcPr>
            <w:tcW w:w="2432" w:type="dxa"/>
            <w:tcBorders>
              <w:top w:val="single" w:sz="8" w:space="0" w:color="000000"/>
              <w:left w:val="single" w:sz="8" w:space="0" w:color="000000"/>
              <w:bottom w:val="single" w:sz="8" w:space="0" w:color="000000"/>
            </w:tcBorders>
          </w:tcPr>
          <w:p>
            <w:pPr>
              <w:pStyle w:val="TableParagraph"/>
              <w:numPr>
                <w:ilvl w:val="0"/>
                <w:numId w:val="1"/>
              </w:numPr>
              <w:tabs>
                <w:tab w:pos="912" w:val="left" w:leader="none"/>
              </w:tabs>
              <w:spacing w:line="513" w:lineRule="auto" w:before="86" w:after="0"/>
              <w:ind w:left="543" w:right="50" w:firstLine="0"/>
              <w:jc w:val="left"/>
              <w:rPr>
                <w:sz w:val="24"/>
              </w:rPr>
            </w:pPr>
            <w:r>
              <w:rPr>
                <w:color w:val="FF3300"/>
                <w:spacing w:val="2"/>
                <w:sz w:val="24"/>
              </w:rPr>
              <w:t>经名 </w:t>
            </w:r>
            <w:r>
              <w:rPr>
                <w:color w:val="FF3300"/>
                <w:sz w:val="24"/>
              </w:rPr>
              <w:t>·</w:t>
            </w:r>
            <w:r>
              <w:rPr>
                <w:color w:val="FF3300"/>
                <w:spacing w:val="-3"/>
                <w:sz w:val="24"/>
              </w:rPr>
              <w:t> 卷数</w:t>
            </w:r>
            <w:r>
              <w:rPr>
                <w:color w:val="FF3300"/>
                <w:sz w:val="24"/>
              </w:rPr>
              <w:t>辩中边论颂</w:t>
            </w:r>
          </w:p>
        </w:tc>
        <w:tc>
          <w:tcPr>
            <w:tcW w:w="1359" w:type="dxa"/>
            <w:tcBorders>
              <w:top w:val="single" w:sz="8" w:space="0" w:color="000000"/>
              <w:bottom w:val="single" w:sz="8" w:space="0" w:color="000000"/>
            </w:tcBorders>
          </w:tcPr>
          <w:p>
            <w:pPr>
              <w:pStyle w:val="TableParagraph"/>
              <w:numPr>
                <w:ilvl w:val="0"/>
                <w:numId w:val="2"/>
              </w:numPr>
              <w:tabs>
                <w:tab w:pos="444" w:val="left" w:leader="none"/>
              </w:tabs>
              <w:spacing w:line="240" w:lineRule="auto" w:before="86" w:after="0"/>
              <w:ind w:left="443" w:right="0" w:hanging="369"/>
              <w:jc w:val="left"/>
              <w:rPr>
                <w:sz w:val="24"/>
              </w:rPr>
            </w:pPr>
            <w:r>
              <w:rPr>
                <w:color w:val="FF3300"/>
                <w:sz w:val="24"/>
              </w:rPr>
              <w:t>跋序</w:t>
            </w:r>
          </w:p>
        </w:tc>
        <w:tc>
          <w:tcPr>
            <w:tcW w:w="2274" w:type="dxa"/>
            <w:tcBorders>
              <w:top w:val="single" w:sz="8" w:space="0" w:color="000000"/>
              <w:bottom w:val="single" w:sz="8" w:space="0" w:color="000000"/>
            </w:tcBorders>
          </w:tcPr>
          <w:p>
            <w:pPr>
              <w:pStyle w:val="TableParagraph"/>
              <w:numPr>
                <w:ilvl w:val="0"/>
                <w:numId w:val="3"/>
              </w:numPr>
              <w:tabs>
                <w:tab w:pos="472" w:val="left" w:leader="none"/>
              </w:tabs>
              <w:spacing w:line="290" w:lineRule="exact" w:before="86" w:after="0"/>
              <w:ind w:left="471"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3"/>
              </w:numPr>
              <w:tabs>
                <w:tab w:pos="472" w:val="left" w:leader="none"/>
              </w:tabs>
              <w:spacing w:line="290" w:lineRule="exact" w:before="0" w:after="0"/>
              <w:ind w:left="471" w:right="0" w:hanging="369"/>
              <w:jc w:val="left"/>
              <w:rPr>
                <w:sz w:val="24"/>
              </w:rPr>
            </w:pPr>
            <w:r>
              <w:rPr>
                <w:color w:val="993300"/>
                <w:sz w:val="24"/>
              </w:rPr>
              <w:t>译作者</w:t>
            </w:r>
          </w:p>
          <w:p>
            <w:pPr>
              <w:pStyle w:val="TableParagraph"/>
              <w:spacing w:line="290" w:lineRule="exact" w:before="77"/>
              <w:ind w:left="103"/>
              <w:rPr>
                <w:sz w:val="24"/>
              </w:rPr>
            </w:pPr>
            <w:r>
              <w:rPr>
                <w:color w:val="993300"/>
                <w:sz w:val="24"/>
              </w:rPr>
              <w:t>辩相品第一</w:t>
            </w:r>
          </w:p>
          <w:p>
            <w:pPr>
              <w:pStyle w:val="TableParagraph"/>
              <w:spacing w:line="213" w:lineRule="auto" w:before="9"/>
              <w:ind w:left="103" w:right="486"/>
              <w:rPr>
                <w:sz w:val="24"/>
              </w:rPr>
            </w:pPr>
            <w:r>
              <w:rPr>
                <w:color w:val="993300"/>
                <w:sz w:val="24"/>
              </w:rPr>
              <w:t>辩修对治品第四辩无上乘品第七</w:t>
            </w:r>
          </w:p>
        </w:tc>
        <w:tc>
          <w:tcPr>
            <w:tcW w:w="2036" w:type="dxa"/>
            <w:tcBorders>
              <w:top w:val="single" w:sz="8" w:space="0" w:color="000000"/>
              <w:bottom w:val="single" w:sz="8" w:space="0" w:color="000000"/>
            </w:tcBorders>
          </w:tcPr>
          <w:p>
            <w:pPr>
              <w:pStyle w:val="TableParagraph"/>
              <w:rPr>
                <w:rFonts w:ascii="Times New Roman"/>
                <w:sz w:val="24"/>
              </w:rPr>
            </w:pPr>
          </w:p>
          <w:p>
            <w:pPr>
              <w:pStyle w:val="TableParagraph"/>
              <w:rPr>
                <w:rFonts w:ascii="Times New Roman"/>
                <w:sz w:val="24"/>
              </w:rPr>
            </w:pPr>
          </w:p>
          <w:p>
            <w:pPr>
              <w:pStyle w:val="TableParagraph"/>
              <w:spacing w:line="290" w:lineRule="exact" w:before="191"/>
              <w:ind w:left="76"/>
              <w:rPr>
                <w:sz w:val="24"/>
              </w:rPr>
            </w:pPr>
            <w:r>
              <w:rPr>
                <w:color w:val="993300"/>
                <w:sz w:val="24"/>
              </w:rPr>
              <w:t>辩障品第二</w:t>
            </w:r>
          </w:p>
          <w:p>
            <w:pPr>
              <w:pStyle w:val="TableParagraph"/>
              <w:spacing w:line="290" w:lineRule="exact"/>
              <w:ind w:left="76"/>
              <w:rPr>
                <w:sz w:val="24"/>
              </w:rPr>
            </w:pPr>
            <w:r>
              <w:rPr>
                <w:color w:val="993300"/>
                <w:sz w:val="24"/>
              </w:rPr>
              <w:t>辩修分位品第五</w:t>
            </w:r>
          </w:p>
        </w:tc>
        <w:tc>
          <w:tcPr>
            <w:tcW w:w="2682" w:type="dxa"/>
            <w:tcBorders>
              <w:top w:val="single" w:sz="8" w:space="0" w:color="000000"/>
              <w:bottom w:val="single" w:sz="8" w:space="0" w:color="000000"/>
              <w:right w:val="single" w:sz="8" w:space="0" w:color="000000"/>
            </w:tcBorders>
          </w:tcPr>
          <w:p>
            <w:pPr>
              <w:pStyle w:val="TableParagraph"/>
              <w:spacing w:line="213" w:lineRule="auto" w:before="113"/>
              <w:ind w:left="1106" w:right="362"/>
              <w:rPr>
                <w:sz w:val="24"/>
              </w:rPr>
            </w:pPr>
            <w:r>
              <w:rPr>
                <w:sz w:val="24"/>
              </w:rPr>
              <w:t>字体：</w:t>
            </w:r>
            <w:r>
              <w:rPr>
                <w:color w:val="FF3300"/>
                <w:sz w:val="24"/>
              </w:rPr>
              <w:t>大号中号 小号</w:t>
            </w:r>
          </w:p>
          <w:p>
            <w:pPr>
              <w:pStyle w:val="TableParagraph"/>
              <w:spacing w:line="213" w:lineRule="auto" w:before="109"/>
              <w:ind w:left="288" w:right="940"/>
              <w:rPr>
                <w:sz w:val="24"/>
              </w:rPr>
            </w:pPr>
            <w:r>
              <w:rPr>
                <w:color w:val="993300"/>
                <w:sz w:val="24"/>
              </w:rPr>
              <w:t>辩真实品第三辩得果品第六</w:t>
            </w:r>
          </w:p>
        </w:tc>
      </w:tr>
      <w:tr>
        <w:trPr>
          <w:trHeight w:val="616" w:hRule="atLeast"/>
        </w:trPr>
        <w:tc>
          <w:tcPr>
            <w:tcW w:w="2432" w:type="dxa"/>
            <w:tcBorders>
              <w:top w:val="single" w:sz="8" w:space="0" w:color="000000"/>
              <w:left w:val="single" w:sz="8" w:space="0" w:color="000000"/>
            </w:tcBorders>
          </w:tcPr>
          <w:p>
            <w:pPr>
              <w:pStyle w:val="TableParagraph"/>
              <w:rPr>
                <w:rFonts w:ascii="Times New Roman"/>
                <w:sz w:val="24"/>
              </w:rPr>
            </w:pPr>
          </w:p>
        </w:tc>
        <w:tc>
          <w:tcPr>
            <w:tcW w:w="1359" w:type="dxa"/>
            <w:tcBorders>
              <w:top w:val="single" w:sz="8" w:space="0" w:color="000000"/>
            </w:tcBorders>
          </w:tcPr>
          <w:p>
            <w:pPr>
              <w:pStyle w:val="TableParagraph"/>
              <w:rPr>
                <w:rFonts w:ascii="Times New Roman"/>
                <w:sz w:val="24"/>
              </w:rPr>
            </w:pPr>
          </w:p>
        </w:tc>
        <w:tc>
          <w:tcPr>
            <w:tcW w:w="2274" w:type="dxa"/>
            <w:tcBorders>
              <w:top w:val="single" w:sz="8" w:space="0" w:color="000000"/>
            </w:tcBorders>
          </w:tcPr>
          <w:p>
            <w:pPr>
              <w:pStyle w:val="TableParagraph"/>
              <w:spacing w:before="5"/>
              <w:rPr>
                <w:rFonts w:ascii="Times New Roman"/>
                <w:sz w:val="21"/>
              </w:rPr>
            </w:pPr>
          </w:p>
          <w:p>
            <w:pPr>
              <w:pStyle w:val="TableParagraph"/>
              <w:ind w:right="62"/>
              <w:jc w:val="right"/>
              <w:rPr>
                <w:sz w:val="24"/>
              </w:rPr>
            </w:pPr>
            <w:r>
              <w:rPr>
                <w:color w:val="FF3300"/>
                <w:sz w:val="24"/>
              </w:rPr>
              <w:t>辩中边论颂</w:t>
            </w:r>
          </w:p>
        </w:tc>
        <w:tc>
          <w:tcPr>
            <w:tcW w:w="2036" w:type="dxa"/>
            <w:tcBorders>
              <w:top w:val="single" w:sz="8" w:space="0" w:color="000000"/>
            </w:tcBorders>
          </w:tcPr>
          <w:p>
            <w:pPr>
              <w:pStyle w:val="TableParagraph"/>
              <w:rPr>
                <w:rFonts w:ascii="Times New Roman"/>
                <w:sz w:val="24"/>
              </w:rPr>
            </w:pPr>
          </w:p>
        </w:tc>
        <w:tc>
          <w:tcPr>
            <w:tcW w:w="2682" w:type="dxa"/>
            <w:tcBorders>
              <w:top w:val="single" w:sz="8" w:space="0" w:color="000000"/>
              <w:right w:val="single" w:sz="8" w:space="0" w:color="000000"/>
            </w:tcBorders>
          </w:tcPr>
          <w:p>
            <w:pPr>
              <w:pStyle w:val="TableParagraph"/>
              <w:rPr>
                <w:rFonts w:ascii="Times New Roman"/>
                <w:sz w:val="24"/>
              </w:rPr>
            </w:pPr>
          </w:p>
        </w:tc>
      </w:tr>
      <w:tr>
        <w:trPr>
          <w:trHeight w:val="512" w:hRule="atLeast"/>
        </w:trPr>
        <w:tc>
          <w:tcPr>
            <w:tcW w:w="2432" w:type="dxa"/>
            <w:tcBorders>
              <w:left w:val="single" w:sz="8" w:space="0" w:color="000000"/>
            </w:tcBorders>
          </w:tcPr>
          <w:p>
            <w:pPr>
              <w:pStyle w:val="TableParagraph"/>
              <w:rPr>
                <w:rFonts w:ascii="Times New Roman"/>
                <w:sz w:val="24"/>
              </w:rPr>
            </w:pPr>
          </w:p>
        </w:tc>
        <w:tc>
          <w:tcPr>
            <w:tcW w:w="1359" w:type="dxa"/>
          </w:tcPr>
          <w:p>
            <w:pPr>
              <w:pStyle w:val="TableParagraph"/>
              <w:rPr>
                <w:rFonts w:ascii="Times New Roman"/>
                <w:sz w:val="24"/>
              </w:rPr>
            </w:pPr>
          </w:p>
        </w:tc>
        <w:tc>
          <w:tcPr>
            <w:tcW w:w="2274" w:type="dxa"/>
          </w:tcPr>
          <w:p>
            <w:pPr>
              <w:pStyle w:val="TableParagraph"/>
              <w:spacing w:before="46"/>
              <w:ind w:right="62"/>
              <w:jc w:val="right"/>
              <w:rPr>
                <w:sz w:val="24"/>
              </w:rPr>
            </w:pPr>
            <w:r>
              <w:rPr>
                <w:color w:val="993300"/>
                <w:sz w:val="24"/>
              </w:rPr>
              <w:t>辩相品第一</w:t>
            </w: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536" w:hRule="atLeast"/>
        </w:trPr>
        <w:tc>
          <w:tcPr>
            <w:tcW w:w="2432" w:type="dxa"/>
            <w:tcBorders>
              <w:left w:val="single" w:sz="8" w:space="0" w:color="000000"/>
            </w:tcBorders>
          </w:tcPr>
          <w:p>
            <w:pPr>
              <w:pStyle w:val="TableParagraph"/>
              <w:spacing w:before="142"/>
              <w:ind w:right="410"/>
              <w:jc w:val="right"/>
              <w:rPr>
                <w:sz w:val="24"/>
              </w:rPr>
            </w:pPr>
            <w:r>
              <w:rPr>
                <w:sz w:val="24"/>
              </w:rPr>
              <w:t>唯相障真实</w:t>
            </w:r>
          </w:p>
        </w:tc>
        <w:tc>
          <w:tcPr>
            <w:tcW w:w="1359" w:type="dxa"/>
          </w:tcPr>
          <w:p>
            <w:pPr>
              <w:pStyle w:val="TableParagraph"/>
              <w:spacing w:before="142"/>
              <w:ind w:left="68"/>
              <w:rPr>
                <w:sz w:val="24"/>
              </w:rPr>
            </w:pPr>
            <w:r>
              <w:rPr>
                <w:sz w:val="24"/>
              </w:rPr>
              <w:t>及修诸对治</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即此修分位</w:t>
            </w:r>
          </w:p>
        </w:tc>
        <w:tc>
          <w:tcPr>
            <w:tcW w:w="1359" w:type="dxa"/>
          </w:tcPr>
          <w:p>
            <w:pPr>
              <w:pStyle w:val="TableParagraph"/>
              <w:spacing w:before="70"/>
              <w:ind w:left="68"/>
              <w:rPr>
                <w:sz w:val="24"/>
              </w:rPr>
            </w:pPr>
            <w:r>
              <w:rPr>
                <w:sz w:val="24"/>
              </w:rPr>
              <w:t>得果无上乘</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虚妄分别有</w:t>
            </w:r>
          </w:p>
        </w:tc>
        <w:tc>
          <w:tcPr>
            <w:tcW w:w="1359" w:type="dxa"/>
          </w:tcPr>
          <w:p>
            <w:pPr>
              <w:pStyle w:val="TableParagraph"/>
              <w:spacing w:before="70"/>
              <w:ind w:left="68"/>
              <w:rPr>
                <w:sz w:val="24"/>
              </w:rPr>
            </w:pPr>
            <w:r>
              <w:rPr>
                <w:sz w:val="24"/>
              </w:rPr>
              <w:t>于此二都无</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此中唯有空</w:t>
            </w:r>
          </w:p>
        </w:tc>
        <w:tc>
          <w:tcPr>
            <w:tcW w:w="1359" w:type="dxa"/>
          </w:tcPr>
          <w:p>
            <w:pPr>
              <w:pStyle w:val="TableParagraph"/>
              <w:spacing w:before="70"/>
              <w:ind w:left="68"/>
              <w:rPr>
                <w:sz w:val="24"/>
              </w:rPr>
            </w:pPr>
            <w:r>
              <w:rPr>
                <w:sz w:val="24"/>
              </w:rPr>
              <w:t>于彼亦有此</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故说一切法</w:t>
            </w:r>
          </w:p>
        </w:tc>
        <w:tc>
          <w:tcPr>
            <w:tcW w:w="1359" w:type="dxa"/>
          </w:tcPr>
          <w:p>
            <w:pPr>
              <w:pStyle w:val="TableParagraph"/>
              <w:spacing w:before="70"/>
              <w:ind w:left="68"/>
              <w:rPr>
                <w:sz w:val="24"/>
              </w:rPr>
            </w:pPr>
            <w:r>
              <w:rPr>
                <w:sz w:val="24"/>
              </w:rPr>
              <w:t>非空非不空</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有无及有故</w:t>
            </w:r>
          </w:p>
        </w:tc>
        <w:tc>
          <w:tcPr>
            <w:tcW w:w="1359" w:type="dxa"/>
          </w:tcPr>
          <w:p>
            <w:pPr>
              <w:pStyle w:val="TableParagraph"/>
              <w:spacing w:before="70"/>
              <w:ind w:left="68"/>
              <w:rPr>
                <w:sz w:val="24"/>
              </w:rPr>
            </w:pPr>
            <w:r>
              <w:rPr>
                <w:sz w:val="24"/>
              </w:rPr>
              <w:t>是则契中道</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识生变似义</w:t>
            </w:r>
          </w:p>
        </w:tc>
        <w:tc>
          <w:tcPr>
            <w:tcW w:w="1359" w:type="dxa"/>
          </w:tcPr>
          <w:p>
            <w:pPr>
              <w:pStyle w:val="TableParagraph"/>
              <w:spacing w:before="70"/>
              <w:ind w:left="68"/>
              <w:rPr>
                <w:sz w:val="24"/>
              </w:rPr>
            </w:pPr>
            <w:r>
              <w:rPr>
                <w:sz w:val="24"/>
              </w:rPr>
              <w:t>有情我及了</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此境实非有</w:t>
            </w:r>
          </w:p>
        </w:tc>
        <w:tc>
          <w:tcPr>
            <w:tcW w:w="1359" w:type="dxa"/>
          </w:tcPr>
          <w:p>
            <w:pPr>
              <w:pStyle w:val="TableParagraph"/>
              <w:spacing w:before="70"/>
              <w:ind w:left="68"/>
              <w:rPr>
                <w:sz w:val="24"/>
              </w:rPr>
            </w:pPr>
            <w:r>
              <w:rPr>
                <w:sz w:val="24"/>
              </w:rPr>
              <w:t>境无故识无</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虚妄分别性</w:t>
            </w:r>
          </w:p>
        </w:tc>
        <w:tc>
          <w:tcPr>
            <w:tcW w:w="1359" w:type="dxa"/>
          </w:tcPr>
          <w:p>
            <w:pPr>
              <w:pStyle w:val="TableParagraph"/>
              <w:spacing w:before="70"/>
              <w:ind w:left="68"/>
              <w:rPr>
                <w:sz w:val="24"/>
              </w:rPr>
            </w:pPr>
            <w:r>
              <w:rPr>
                <w:sz w:val="24"/>
              </w:rPr>
              <w:t>由此义得成</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非实有全无</w:t>
            </w:r>
          </w:p>
        </w:tc>
        <w:tc>
          <w:tcPr>
            <w:tcW w:w="1359" w:type="dxa"/>
          </w:tcPr>
          <w:p>
            <w:pPr>
              <w:pStyle w:val="TableParagraph"/>
              <w:spacing w:before="70"/>
              <w:ind w:left="68"/>
              <w:rPr>
                <w:sz w:val="24"/>
              </w:rPr>
            </w:pPr>
            <w:r>
              <w:rPr>
                <w:sz w:val="24"/>
              </w:rPr>
              <w:t>许灭解脱故</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唯所执依他</w:t>
            </w:r>
          </w:p>
        </w:tc>
        <w:tc>
          <w:tcPr>
            <w:tcW w:w="1359" w:type="dxa"/>
          </w:tcPr>
          <w:p>
            <w:pPr>
              <w:pStyle w:val="TableParagraph"/>
              <w:spacing w:before="70"/>
              <w:ind w:left="68"/>
              <w:rPr>
                <w:sz w:val="24"/>
              </w:rPr>
            </w:pPr>
            <w:r>
              <w:rPr>
                <w:sz w:val="24"/>
              </w:rPr>
              <w:t>及圆成实性</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境故分别故</w:t>
            </w:r>
          </w:p>
        </w:tc>
        <w:tc>
          <w:tcPr>
            <w:tcW w:w="1359" w:type="dxa"/>
          </w:tcPr>
          <w:p>
            <w:pPr>
              <w:pStyle w:val="TableParagraph"/>
              <w:spacing w:before="70"/>
              <w:ind w:left="68"/>
              <w:rPr>
                <w:sz w:val="24"/>
              </w:rPr>
            </w:pPr>
            <w:r>
              <w:rPr>
                <w:sz w:val="24"/>
              </w:rPr>
              <w:t>及二空故说</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依识有所得</w:t>
            </w:r>
          </w:p>
        </w:tc>
        <w:tc>
          <w:tcPr>
            <w:tcW w:w="1359" w:type="dxa"/>
          </w:tcPr>
          <w:p>
            <w:pPr>
              <w:pStyle w:val="TableParagraph"/>
              <w:spacing w:before="70"/>
              <w:ind w:left="68"/>
              <w:rPr>
                <w:sz w:val="24"/>
              </w:rPr>
            </w:pPr>
            <w:r>
              <w:rPr>
                <w:sz w:val="24"/>
              </w:rPr>
              <w:t>境无所得生</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依境无所得</w:t>
            </w:r>
          </w:p>
        </w:tc>
        <w:tc>
          <w:tcPr>
            <w:tcW w:w="1359" w:type="dxa"/>
          </w:tcPr>
          <w:p>
            <w:pPr>
              <w:pStyle w:val="TableParagraph"/>
              <w:spacing w:before="70"/>
              <w:ind w:left="68"/>
              <w:rPr>
                <w:sz w:val="24"/>
              </w:rPr>
            </w:pPr>
            <w:r>
              <w:rPr>
                <w:sz w:val="24"/>
              </w:rPr>
              <w:t>识无所得生</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由识有得性</w:t>
            </w:r>
          </w:p>
        </w:tc>
        <w:tc>
          <w:tcPr>
            <w:tcW w:w="1359" w:type="dxa"/>
          </w:tcPr>
          <w:p>
            <w:pPr>
              <w:pStyle w:val="TableParagraph"/>
              <w:spacing w:before="70"/>
              <w:ind w:left="68"/>
              <w:rPr>
                <w:sz w:val="24"/>
              </w:rPr>
            </w:pPr>
            <w:r>
              <w:rPr>
                <w:sz w:val="24"/>
              </w:rPr>
              <w:t>亦成无所得</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故知二有得</w:t>
            </w:r>
          </w:p>
        </w:tc>
        <w:tc>
          <w:tcPr>
            <w:tcW w:w="1359" w:type="dxa"/>
          </w:tcPr>
          <w:p>
            <w:pPr>
              <w:pStyle w:val="TableParagraph"/>
              <w:spacing w:before="70"/>
              <w:ind w:left="68"/>
              <w:rPr>
                <w:sz w:val="24"/>
              </w:rPr>
            </w:pPr>
            <w:r>
              <w:rPr>
                <w:sz w:val="24"/>
              </w:rPr>
              <w:t>无得性平等</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三界心心所</w:t>
            </w:r>
          </w:p>
        </w:tc>
        <w:tc>
          <w:tcPr>
            <w:tcW w:w="1359" w:type="dxa"/>
          </w:tcPr>
          <w:p>
            <w:pPr>
              <w:pStyle w:val="TableParagraph"/>
              <w:spacing w:before="70"/>
              <w:ind w:left="68"/>
              <w:rPr>
                <w:sz w:val="24"/>
              </w:rPr>
            </w:pPr>
            <w:r>
              <w:rPr>
                <w:sz w:val="24"/>
              </w:rPr>
              <w:t>是虚妄分别</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唯了境名心</w:t>
            </w:r>
          </w:p>
        </w:tc>
        <w:tc>
          <w:tcPr>
            <w:tcW w:w="1359" w:type="dxa"/>
          </w:tcPr>
          <w:p>
            <w:pPr>
              <w:pStyle w:val="TableParagraph"/>
              <w:spacing w:before="70"/>
              <w:ind w:left="68"/>
              <w:rPr>
                <w:sz w:val="24"/>
              </w:rPr>
            </w:pPr>
            <w:r>
              <w:rPr>
                <w:sz w:val="24"/>
              </w:rPr>
              <w:t>亦别名心所</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一则名缘识</w:t>
            </w:r>
          </w:p>
        </w:tc>
        <w:tc>
          <w:tcPr>
            <w:tcW w:w="1359" w:type="dxa"/>
          </w:tcPr>
          <w:p>
            <w:pPr>
              <w:pStyle w:val="TableParagraph"/>
              <w:spacing w:before="70"/>
              <w:ind w:left="68"/>
              <w:rPr>
                <w:sz w:val="24"/>
              </w:rPr>
            </w:pPr>
            <w:r>
              <w:rPr>
                <w:sz w:val="24"/>
              </w:rPr>
              <w:t>第二名受者</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此中能受用</w:t>
            </w:r>
          </w:p>
        </w:tc>
        <w:tc>
          <w:tcPr>
            <w:tcW w:w="1359" w:type="dxa"/>
          </w:tcPr>
          <w:p>
            <w:pPr>
              <w:pStyle w:val="TableParagraph"/>
              <w:spacing w:before="70"/>
              <w:ind w:left="68"/>
              <w:rPr>
                <w:sz w:val="24"/>
              </w:rPr>
            </w:pPr>
            <w:r>
              <w:rPr>
                <w:sz w:val="24"/>
              </w:rPr>
              <w:t>分别推心所</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覆障及安立</w:t>
            </w:r>
          </w:p>
        </w:tc>
        <w:tc>
          <w:tcPr>
            <w:tcW w:w="1359" w:type="dxa"/>
          </w:tcPr>
          <w:p>
            <w:pPr>
              <w:pStyle w:val="TableParagraph"/>
              <w:spacing w:before="70"/>
              <w:ind w:left="68"/>
              <w:rPr>
                <w:sz w:val="24"/>
              </w:rPr>
            </w:pPr>
            <w:r>
              <w:rPr>
                <w:sz w:val="24"/>
              </w:rPr>
              <w:t>将导摄圆满</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464" w:hRule="atLeast"/>
        </w:trPr>
        <w:tc>
          <w:tcPr>
            <w:tcW w:w="2432" w:type="dxa"/>
            <w:tcBorders>
              <w:left w:val="single" w:sz="8" w:space="0" w:color="000000"/>
            </w:tcBorders>
          </w:tcPr>
          <w:p>
            <w:pPr>
              <w:pStyle w:val="TableParagraph"/>
              <w:spacing w:before="70"/>
              <w:ind w:right="410"/>
              <w:jc w:val="right"/>
              <w:rPr>
                <w:sz w:val="24"/>
              </w:rPr>
            </w:pPr>
            <w:r>
              <w:rPr>
                <w:sz w:val="24"/>
              </w:rPr>
              <w:t>三分别受用</w:t>
            </w:r>
          </w:p>
        </w:tc>
        <w:tc>
          <w:tcPr>
            <w:tcW w:w="1359" w:type="dxa"/>
          </w:tcPr>
          <w:p>
            <w:pPr>
              <w:pStyle w:val="TableParagraph"/>
              <w:spacing w:before="70"/>
              <w:ind w:left="68"/>
              <w:rPr>
                <w:sz w:val="24"/>
              </w:rPr>
            </w:pPr>
            <w:r>
              <w:rPr>
                <w:sz w:val="24"/>
              </w:rPr>
              <w:t>引起并连缚</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r>
        <w:trPr>
          <w:trHeight w:val="654" w:hRule="atLeast"/>
        </w:trPr>
        <w:tc>
          <w:tcPr>
            <w:tcW w:w="2432" w:type="dxa"/>
            <w:tcBorders>
              <w:left w:val="single" w:sz="8" w:space="0" w:color="000000"/>
            </w:tcBorders>
          </w:tcPr>
          <w:p>
            <w:pPr>
              <w:pStyle w:val="TableParagraph"/>
              <w:spacing w:before="70"/>
              <w:ind w:right="410"/>
              <w:jc w:val="right"/>
              <w:rPr>
                <w:sz w:val="24"/>
              </w:rPr>
            </w:pPr>
            <w:r>
              <w:rPr>
                <w:sz w:val="24"/>
              </w:rPr>
              <w:t>现前苦果故</w:t>
            </w:r>
          </w:p>
        </w:tc>
        <w:tc>
          <w:tcPr>
            <w:tcW w:w="1359" w:type="dxa"/>
          </w:tcPr>
          <w:p>
            <w:pPr>
              <w:pStyle w:val="TableParagraph"/>
              <w:spacing w:before="70"/>
              <w:ind w:left="68"/>
              <w:rPr>
                <w:sz w:val="24"/>
              </w:rPr>
            </w:pPr>
            <w:r>
              <w:rPr>
                <w:sz w:val="24"/>
              </w:rPr>
              <w:t>唯此恼世间</w:t>
            </w:r>
          </w:p>
        </w:tc>
        <w:tc>
          <w:tcPr>
            <w:tcW w:w="2274" w:type="dxa"/>
          </w:tcPr>
          <w:p>
            <w:pPr>
              <w:pStyle w:val="TableParagraph"/>
              <w:rPr>
                <w:rFonts w:ascii="Times New Roman"/>
                <w:sz w:val="24"/>
              </w:rPr>
            </w:pPr>
          </w:p>
        </w:tc>
        <w:tc>
          <w:tcPr>
            <w:tcW w:w="2036" w:type="dxa"/>
          </w:tcPr>
          <w:p>
            <w:pPr>
              <w:pStyle w:val="TableParagraph"/>
              <w:rPr>
                <w:rFonts w:ascii="Times New Roman"/>
                <w:sz w:val="24"/>
              </w:rPr>
            </w:pPr>
          </w:p>
        </w:tc>
        <w:tc>
          <w:tcPr>
            <w:tcW w:w="2682" w:type="dxa"/>
            <w:tcBorders>
              <w:right w:val="single" w:sz="8" w:space="0" w:color="000000"/>
            </w:tcBorders>
          </w:tcPr>
          <w:p>
            <w:pPr>
              <w:pStyle w:val="TableParagraph"/>
              <w:rPr>
                <w:rFonts w:ascii="Times New Roman"/>
                <w:sz w:val="24"/>
              </w:rPr>
            </w:pPr>
          </w:p>
        </w:tc>
      </w:tr>
    </w:tbl>
    <w:p>
      <w:pPr>
        <w:spacing w:after="0"/>
        <w:rPr>
          <w:rFonts w:ascii="Times New Roman"/>
          <w:sz w:val="24"/>
        </w:rPr>
        <w:sectPr>
          <w:type w:val="continuous"/>
          <w:pgSz w:w="12240" w:h="15840"/>
          <w:pgMar w:top="700" w:bottom="280" w:left="580" w:right="640"/>
        </w:sectPr>
      </w:pPr>
    </w:p>
    <w:p>
      <w:pPr>
        <w:pStyle w:val="BodyText"/>
        <w:spacing w:line="362" w:lineRule="auto" w:before="80"/>
        <w:ind w:right="7204"/>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三二七杂染   由虚妄分别诸相及异门   义差别成立应知二空性   略说唯由此无二有无故   非有亦非无非异亦非一   是说为空相略说空异门   谓真如实际无相胜义性   法界等应知由无变无倒   相灭圣智境及诸圣法因   异门义如次此杂染清净   由有垢无垢如水界全空   净故许为净能食及所食   此依身所住能见如此理   所求二净空为常益有情   为不舍生死为善无穷尽   故观此为空为种性清净   为得诸相好为净诸佛法   故菩萨观空补特伽罗法   实性俱非有此无性有性   故别立二空此若无杂染   一切应自脱此若无清净   功用应无果非染非不染   非净非不净心性本净故 由客尘所染</w:t>
      </w:r>
    </w:p>
    <w:p>
      <w:pPr>
        <w:pStyle w:val="BodyText"/>
        <w:spacing w:before="0"/>
        <w:ind w:left="0"/>
        <w:rPr>
          <w:sz w:val="9"/>
        </w:rPr>
      </w:pPr>
    </w:p>
    <w:p>
      <w:pPr>
        <w:pStyle w:val="BodyText"/>
        <w:spacing w:before="66"/>
        <w:ind w:left="4651" w:right="4648"/>
        <w:jc w:val="center"/>
      </w:pPr>
      <w:r>
        <w:rPr>
          <w:color w:val="993300"/>
        </w:rPr>
        <w:t>辩障品第二</w:t>
      </w:r>
    </w:p>
    <w:p>
      <w:pPr>
        <w:pStyle w:val="BodyText"/>
        <w:ind w:left="0"/>
        <w:rPr>
          <w:sz w:val="19"/>
        </w:rPr>
      </w:pPr>
    </w:p>
    <w:p>
      <w:pPr>
        <w:pStyle w:val="BodyText"/>
        <w:spacing w:line="362" w:lineRule="auto" w:before="67"/>
        <w:ind w:right="7204"/>
        <w:jc w:val="both"/>
      </w:pPr>
      <w:r>
        <w:rPr/>
        <w:t>具分及一分   增盛与平等于生死取舍   说障二种性九种烦恼相   谓爱等九结初二障厌舍   余七障真见谓能障身见   彼事灭道宝利养恭敬等 远离遍知故</w:t>
      </w:r>
    </w:p>
    <w:p>
      <w:pPr>
        <w:spacing w:after="0" w:line="362" w:lineRule="auto"/>
        <w:jc w:val="both"/>
        <w:sectPr>
          <w:pgSz w:w="12240" w:h="15840"/>
          <w:pgMar w:top="580" w:bottom="280" w:left="580" w:right="640"/>
        </w:sectPr>
      </w:pPr>
    </w:p>
    <w:p>
      <w:pPr>
        <w:pStyle w:val="BodyText"/>
        <w:spacing w:line="362" w:lineRule="auto" w:before="89"/>
        <w:ind w:right="7204"/>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无加行非处   不如理不生不起正思惟   资粮未圆满阙种性善友   心极疲厌性及阙于正行   鄙恶者同居倒粗重三余   般若未成就及本性粗重   懈怠放逸性著有着资财   及心性下劣不信无胜解   如言而取义轻法重名利   于有情无悲匮闻及少闻   不修治妙定善菩提摄受   有慧无乱障回向不怖悭   自在名善等如是善等十   各有前三障于觉分度地   有别障应知于事不善巧   懈怠定减二不植羸劣性   见粗重过失障富贵善趣   不舍诸有情于失德减增   令趣入解脱障施等诸善   无尽亦无间所作善决定   受用法成熟遍行与最胜   胜流及无摄相续无差别   无杂染清净种种法无别   及不增不减并无分别等   四自在依义于斯十法界   有不染无明障十地功德   故说为十障已说诸烦恼   及诸所知障许此二尽故 一切障解脱</w:t>
      </w:r>
    </w:p>
    <w:p>
      <w:pPr>
        <w:pStyle w:val="BodyText"/>
        <w:spacing w:before="5"/>
        <w:ind w:left="0"/>
        <w:rPr>
          <w:sz w:val="8"/>
        </w:rPr>
      </w:pPr>
    </w:p>
    <w:p>
      <w:pPr>
        <w:pStyle w:val="BodyText"/>
        <w:spacing w:before="67"/>
        <w:ind w:left="4651" w:right="4648"/>
        <w:jc w:val="center"/>
      </w:pPr>
      <w:r>
        <w:rPr>
          <w:color w:val="993300"/>
        </w:rPr>
        <w:t>辩真实品第三</w:t>
      </w:r>
    </w:p>
    <w:p>
      <w:pPr>
        <w:pStyle w:val="BodyText"/>
        <w:ind w:left="0"/>
        <w:rPr>
          <w:sz w:val="19"/>
        </w:rPr>
      </w:pPr>
    </w:p>
    <w:p>
      <w:pPr>
        <w:pStyle w:val="BodyText"/>
        <w:tabs>
          <w:tab w:pos="2612" w:val="left" w:leader="none"/>
        </w:tabs>
        <w:spacing w:before="66"/>
      </w:pPr>
      <w:r>
        <w:rPr/>
        <w:t>真实唯有十</w:t>
        <w:tab/>
        <w:t>谓根本与相</w:t>
      </w:r>
    </w:p>
    <w:p>
      <w:pPr>
        <w:spacing w:after="0"/>
        <w:sectPr>
          <w:pgSz w:w="12240" w:h="15840"/>
          <w:pgMar w:top="580" w:bottom="280" w:left="580" w:right="640"/>
        </w:sectPr>
      </w:pPr>
    </w:p>
    <w:p>
      <w:pPr>
        <w:pStyle w:val="BodyText"/>
        <w:spacing w:line="362" w:lineRule="auto" w:before="90"/>
        <w:ind w:right="7204"/>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无颠倒因果   及粗细真实极成净所行   摄受并差别十善巧真实   皆为除我见许于三自性   唯一常非有一有而不真   一有无真实于法数取趣   及所取能取有非有性中   增益损减见知此故不转   是名真实相无性与生灭   垢净三无常所取及事相   和合苦三种空亦有三种   谓无异自性无相及异相   自相三无我如次四三种   依根本真实苦三相已说   集亦有三种谓习气等起   及相未离系自性二不生   垢寂二三灭遍知及永断   证得三道谛应知世俗谛   差别有三种谓假行显了   如次依本三胜义谛亦三   谓义得正行依本一无变   无倒二圆实世极成依一   理极成依三净所行有二   依一圆成实名遍计所执   相分别依他真如及正智   圆成实所摄流转与安立   邪行依初二实相唯识净   正行依后一于蕴等我见   执一因受者作者自在转   增上义及常杂染清净依   观缚解者性此所执分别 法性义在彼</w:t>
      </w:r>
    </w:p>
    <w:p>
      <w:pPr>
        <w:spacing w:after="0" w:line="362" w:lineRule="auto"/>
        <w:jc w:val="both"/>
        <w:sectPr>
          <w:pgSz w:w="12240" w:h="15840"/>
          <w:pgMar w:top="580" w:bottom="280" w:left="580" w:right="640"/>
        </w:sectPr>
      </w:pPr>
    </w:p>
    <w:p>
      <w:pPr>
        <w:pStyle w:val="BodyText"/>
        <w:spacing w:line="362" w:lineRule="auto" w:before="90"/>
        <w:ind w:right="7204"/>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非一及总略   分段议名蕴能所取彼取   种子义名界能受所了境   用门义名处缘起义于因   果用无增减于非爱爱净   俱生及胜主得行不自在   是处非处义根于取住续   用二净增上因果已未用   是世义应知受及受资粮   彼所因诸行二寂灭对治   是谛义应知由功德过失   及无分别智依他自出离   是乘义应知有为无为义   谓若假若因若相若寂静 若彼所观义</w:t>
      </w:r>
    </w:p>
    <w:p>
      <w:pPr>
        <w:pStyle w:val="BodyText"/>
        <w:spacing w:before="2"/>
        <w:ind w:left="0"/>
        <w:rPr>
          <w:sz w:val="8"/>
        </w:rPr>
      </w:pPr>
    </w:p>
    <w:p>
      <w:pPr>
        <w:pStyle w:val="BodyText"/>
        <w:spacing w:before="67"/>
        <w:ind w:left="4651" w:right="4648"/>
        <w:jc w:val="center"/>
      </w:pPr>
      <w:r>
        <w:rPr>
          <w:color w:val="993300"/>
        </w:rPr>
        <w:t>辩修对治品第四</w:t>
      </w:r>
    </w:p>
    <w:p>
      <w:pPr>
        <w:pStyle w:val="BodyText"/>
        <w:ind w:left="0"/>
        <w:rPr>
          <w:sz w:val="19"/>
        </w:rPr>
      </w:pPr>
    </w:p>
    <w:p>
      <w:pPr>
        <w:pStyle w:val="BodyText"/>
        <w:spacing w:line="362" w:lineRule="auto" w:before="67"/>
        <w:ind w:right="7204"/>
        <w:jc w:val="both"/>
      </w:pPr>
      <w:r>
        <w:rPr/>
        <w:t>以粗重爱因   我事无迷故为入四圣谛   修念住应知已遍知障治   一切种差别为远离修集   勤修四正断依住堪能性   为一切事成灭除五过失   勤修八断行懈怠忘圣言   及惛沉掉举不作行作行   是五失应知为断除懈怠   修欲勤信安即所依能依   及所因能果为除余四失   修念智思舍记言觉沉掉   伏行灭等流已种顺解脱   复修五增上谓欲行不忘   不散乱思择即损障名力 因果立次第</w:t>
      </w:r>
    </w:p>
    <w:p>
      <w:pPr>
        <w:spacing w:after="0" w:line="362" w:lineRule="auto"/>
        <w:jc w:val="both"/>
        <w:sectPr>
          <w:pgSz w:w="12240" w:h="15840"/>
          <w:pgMar w:top="580" w:bottom="280" w:left="580" w:right="640"/>
        </w:sectPr>
      </w:pPr>
    </w:p>
    <w:p>
      <w:pPr>
        <w:pStyle w:val="BodyText"/>
        <w:spacing w:before="9" w:after="1"/>
        <w:ind w:left="0"/>
        <w:rPr>
          <w:rFonts w:ascii="Times New Roman"/>
          <w:sz w:val="10"/>
        </w:rPr>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871"/>
        <w:gridCol w:w="2161"/>
      </w:tblGrid>
      <w:tr>
        <w:trPr>
          <w:trHeight w:val="6006" w:hRule="atLeast"/>
        </w:trPr>
        <w:tc>
          <w:tcPr>
            <w:tcW w:w="1492" w:type="dxa"/>
          </w:tcPr>
          <w:p>
            <w:pPr>
              <w:pStyle w:val="TableParagraph"/>
              <w:spacing w:line="274" w:lineRule="exact"/>
              <w:ind w:left="50"/>
              <w:rPr>
                <w:sz w:val="24"/>
              </w:rPr>
            </w:pPr>
            <w:r>
              <w:rPr>
                <w:sz w:val="24"/>
              </w:rPr>
              <w:t>顺决择二二</w:t>
            </w:r>
          </w:p>
          <w:p>
            <w:pPr>
              <w:pStyle w:val="TableParagraph"/>
              <w:spacing w:line="362" w:lineRule="auto" w:before="157"/>
              <w:ind w:left="50" w:right="238"/>
              <w:jc w:val="both"/>
              <w:rPr>
                <w:sz w:val="24"/>
              </w:rPr>
            </w:pPr>
            <w:r>
              <w:rPr>
                <w:spacing w:val="-4"/>
                <w:sz w:val="24"/>
              </w:rPr>
              <w:t>觉支略有五出离并利益由因缘所依故轻安定舍分别及诲示对治障亦三表见戒远离对治本随惑有倒顺无倒无倒无倒随菩萨所修习</w:t>
            </w:r>
          </w:p>
          <w:p>
            <w:pPr>
              <w:pStyle w:val="TableParagraph"/>
              <w:spacing w:line="302" w:lineRule="exact"/>
              <w:ind w:left="50"/>
              <w:rPr>
                <w:sz w:val="24"/>
              </w:rPr>
            </w:pPr>
            <w:r>
              <w:rPr>
                <w:sz w:val="24"/>
              </w:rPr>
              <w:t>证得殊胜故</w:t>
            </w:r>
          </w:p>
        </w:tc>
        <w:tc>
          <w:tcPr>
            <w:tcW w:w="1871" w:type="dxa"/>
          </w:tcPr>
          <w:p>
            <w:pPr>
              <w:pStyle w:val="TableParagraph"/>
              <w:spacing w:line="274" w:lineRule="exact"/>
              <w:ind w:left="239"/>
              <w:rPr>
                <w:sz w:val="24"/>
              </w:rPr>
            </w:pPr>
            <w:r>
              <w:rPr>
                <w:sz w:val="24"/>
              </w:rPr>
              <w:t>在五根五力</w:t>
            </w:r>
          </w:p>
          <w:p>
            <w:pPr>
              <w:pStyle w:val="TableParagraph"/>
              <w:spacing w:line="362" w:lineRule="auto" w:before="157"/>
              <w:ind w:left="239" w:right="427"/>
              <w:jc w:val="both"/>
              <w:rPr>
                <w:sz w:val="24"/>
              </w:rPr>
            </w:pPr>
            <w:r>
              <w:rPr>
                <w:spacing w:val="-3"/>
                <w:sz w:val="24"/>
              </w:rPr>
              <w:t>谓所依自性及三无染支自性义差别说为无染支令他信有三故道支成八令他深信受及自在障故无倒有倒随是修治差别由所缘作意</w:t>
            </w:r>
          </w:p>
          <w:p>
            <w:pPr>
              <w:pStyle w:val="TableParagraph"/>
              <w:spacing w:line="302" w:lineRule="exact"/>
              <w:ind w:left="239"/>
              <w:rPr>
                <w:sz w:val="24"/>
              </w:rPr>
            </w:pPr>
            <w:r>
              <w:rPr>
                <w:sz w:val="24"/>
              </w:rPr>
              <w:t>与二乘差别</w:t>
            </w:r>
          </w:p>
        </w:tc>
        <w:tc>
          <w:tcPr>
            <w:tcW w:w="2161" w:type="dxa"/>
          </w:tcPr>
          <w:p>
            <w:pPr>
              <w:pStyle w:val="TableParagraph"/>
              <w:rPr>
                <w:rFonts w:ascii="Times New Roman"/>
                <w:sz w:val="24"/>
              </w:rPr>
            </w:pPr>
          </w:p>
        </w:tc>
      </w:tr>
      <w:tr>
        <w:trPr>
          <w:trHeight w:val="632" w:hRule="atLeast"/>
        </w:trPr>
        <w:tc>
          <w:tcPr>
            <w:tcW w:w="1492" w:type="dxa"/>
          </w:tcPr>
          <w:p>
            <w:pPr>
              <w:pStyle w:val="TableParagraph"/>
              <w:rPr>
                <w:rFonts w:ascii="Times New Roman"/>
                <w:sz w:val="24"/>
              </w:rPr>
            </w:pPr>
          </w:p>
        </w:tc>
        <w:tc>
          <w:tcPr>
            <w:tcW w:w="1871" w:type="dxa"/>
          </w:tcPr>
          <w:p>
            <w:pPr>
              <w:pStyle w:val="TableParagraph"/>
              <w:rPr>
                <w:rFonts w:ascii="Times New Roman"/>
                <w:sz w:val="24"/>
              </w:rPr>
            </w:pPr>
          </w:p>
        </w:tc>
        <w:tc>
          <w:tcPr>
            <w:tcW w:w="2161" w:type="dxa"/>
          </w:tcPr>
          <w:p>
            <w:pPr>
              <w:pStyle w:val="TableParagraph"/>
              <w:spacing w:before="166"/>
              <w:ind w:left="408" w:right="33"/>
              <w:jc w:val="center"/>
              <w:rPr>
                <w:sz w:val="24"/>
              </w:rPr>
            </w:pPr>
            <w:r>
              <w:rPr>
                <w:color w:val="993300"/>
                <w:sz w:val="24"/>
              </w:rPr>
              <w:t>辩修分位品第五</w:t>
            </w:r>
          </w:p>
        </w:tc>
      </w:tr>
      <w:tr>
        <w:trPr>
          <w:trHeight w:val="3884" w:hRule="atLeast"/>
        </w:trPr>
        <w:tc>
          <w:tcPr>
            <w:tcW w:w="1492" w:type="dxa"/>
          </w:tcPr>
          <w:p>
            <w:pPr>
              <w:pStyle w:val="TableParagraph"/>
              <w:spacing w:line="460" w:lineRule="atLeast" w:before="6"/>
              <w:ind w:left="50" w:right="238"/>
              <w:jc w:val="both"/>
              <w:rPr>
                <w:sz w:val="24"/>
              </w:rPr>
            </w:pPr>
            <w:r>
              <w:rPr>
                <w:sz w:val="24"/>
              </w:rPr>
              <w:t>所说修对治谓因入行果上无上解行灌顶及证得应知法界中不净净不净依前诸位中随所应建立</w:t>
            </w:r>
          </w:p>
        </w:tc>
        <w:tc>
          <w:tcPr>
            <w:tcW w:w="1871" w:type="dxa"/>
          </w:tcPr>
          <w:p>
            <w:pPr>
              <w:pStyle w:val="TableParagraph"/>
              <w:spacing w:line="460" w:lineRule="atLeast" w:before="6"/>
              <w:ind w:left="239" w:right="427"/>
              <w:jc w:val="both"/>
              <w:rPr>
                <w:sz w:val="24"/>
              </w:rPr>
            </w:pPr>
            <w:r>
              <w:rPr>
                <w:sz w:val="24"/>
              </w:rPr>
              <w:t>分位有十八作无作殊胜入出离记说胜利成所作略有三分位清净随所应所有差别相诸补特伽罗</w:t>
            </w:r>
          </w:p>
        </w:tc>
        <w:tc>
          <w:tcPr>
            <w:tcW w:w="2161" w:type="dxa"/>
          </w:tcPr>
          <w:p>
            <w:pPr>
              <w:pStyle w:val="TableParagraph"/>
              <w:rPr>
                <w:rFonts w:ascii="Times New Roman"/>
                <w:sz w:val="24"/>
              </w:rPr>
            </w:pPr>
          </w:p>
        </w:tc>
      </w:tr>
      <w:tr>
        <w:trPr>
          <w:trHeight w:val="624" w:hRule="atLeast"/>
        </w:trPr>
        <w:tc>
          <w:tcPr>
            <w:tcW w:w="1492" w:type="dxa"/>
          </w:tcPr>
          <w:p>
            <w:pPr>
              <w:pStyle w:val="TableParagraph"/>
              <w:rPr>
                <w:rFonts w:ascii="Times New Roman"/>
                <w:sz w:val="24"/>
              </w:rPr>
            </w:pPr>
          </w:p>
        </w:tc>
        <w:tc>
          <w:tcPr>
            <w:tcW w:w="1871" w:type="dxa"/>
          </w:tcPr>
          <w:p>
            <w:pPr>
              <w:pStyle w:val="TableParagraph"/>
              <w:rPr>
                <w:rFonts w:ascii="Times New Roman"/>
                <w:sz w:val="24"/>
              </w:rPr>
            </w:pPr>
          </w:p>
        </w:tc>
        <w:tc>
          <w:tcPr>
            <w:tcW w:w="2161" w:type="dxa"/>
          </w:tcPr>
          <w:p>
            <w:pPr>
              <w:pStyle w:val="TableParagraph"/>
              <w:spacing w:before="166"/>
              <w:ind w:left="408" w:right="33"/>
              <w:jc w:val="center"/>
              <w:rPr>
                <w:sz w:val="24"/>
              </w:rPr>
            </w:pPr>
            <w:r>
              <w:rPr>
                <w:color w:val="993300"/>
                <w:sz w:val="24"/>
              </w:rPr>
              <w:t>辩得果品第六</w:t>
            </w:r>
          </w:p>
        </w:tc>
      </w:tr>
      <w:tr>
        <w:trPr>
          <w:trHeight w:val="2018" w:hRule="atLeast"/>
        </w:trPr>
        <w:tc>
          <w:tcPr>
            <w:tcW w:w="1492" w:type="dxa"/>
          </w:tcPr>
          <w:p>
            <w:pPr>
              <w:pStyle w:val="TableParagraph"/>
              <w:spacing w:line="464" w:lineRule="exact" w:before="19"/>
              <w:ind w:left="50" w:right="238"/>
              <w:jc w:val="both"/>
              <w:rPr>
                <w:sz w:val="24"/>
              </w:rPr>
            </w:pPr>
            <w:r>
              <w:rPr>
                <w:sz w:val="24"/>
              </w:rPr>
              <w:t>器说为异熟爱乐增长净复略说余果究竟顺障灭</w:t>
            </w:r>
          </w:p>
        </w:tc>
        <w:tc>
          <w:tcPr>
            <w:tcW w:w="1871" w:type="dxa"/>
          </w:tcPr>
          <w:p>
            <w:pPr>
              <w:pStyle w:val="TableParagraph"/>
              <w:spacing w:line="464" w:lineRule="exact" w:before="19"/>
              <w:ind w:left="239" w:right="427"/>
              <w:jc w:val="both"/>
              <w:rPr>
                <w:sz w:val="24"/>
              </w:rPr>
            </w:pPr>
            <w:r>
              <w:rPr>
                <w:sz w:val="24"/>
              </w:rPr>
              <w:t>力是彼增上如次即五果后后初数习离胜上无上</w:t>
            </w:r>
          </w:p>
        </w:tc>
        <w:tc>
          <w:tcPr>
            <w:tcW w:w="2161" w:type="dxa"/>
          </w:tcPr>
          <w:p>
            <w:pPr>
              <w:pStyle w:val="TableParagraph"/>
              <w:rPr>
                <w:rFonts w:ascii="Times New Roman"/>
                <w:sz w:val="24"/>
              </w:rPr>
            </w:pPr>
          </w:p>
        </w:tc>
      </w:tr>
      <w:tr>
        <w:trPr>
          <w:trHeight w:val="632" w:hRule="atLeast"/>
        </w:trPr>
        <w:tc>
          <w:tcPr>
            <w:tcW w:w="1492" w:type="dxa"/>
          </w:tcPr>
          <w:p>
            <w:pPr>
              <w:pStyle w:val="TableParagraph"/>
              <w:rPr>
                <w:rFonts w:ascii="Times New Roman"/>
                <w:sz w:val="24"/>
              </w:rPr>
            </w:pPr>
          </w:p>
        </w:tc>
        <w:tc>
          <w:tcPr>
            <w:tcW w:w="1871" w:type="dxa"/>
          </w:tcPr>
          <w:p>
            <w:pPr>
              <w:pStyle w:val="TableParagraph"/>
              <w:rPr>
                <w:rFonts w:ascii="Times New Roman"/>
                <w:sz w:val="24"/>
              </w:rPr>
            </w:pPr>
          </w:p>
        </w:tc>
        <w:tc>
          <w:tcPr>
            <w:tcW w:w="2161" w:type="dxa"/>
          </w:tcPr>
          <w:p>
            <w:pPr>
              <w:pStyle w:val="TableParagraph"/>
              <w:spacing w:before="166"/>
              <w:ind w:left="408" w:right="33"/>
              <w:jc w:val="center"/>
              <w:rPr>
                <w:sz w:val="24"/>
              </w:rPr>
            </w:pPr>
            <w:r>
              <w:rPr>
                <w:color w:val="993300"/>
                <w:sz w:val="24"/>
              </w:rPr>
              <w:t>辩无上乘品第七</w:t>
            </w:r>
          </w:p>
        </w:tc>
      </w:tr>
      <w:tr>
        <w:trPr>
          <w:trHeight w:val="432" w:hRule="atLeast"/>
        </w:trPr>
        <w:tc>
          <w:tcPr>
            <w:tcW w:w="1492" w:type="dxa"/>
          </w:tcPr>
          <w:p>
            <w:pPr>
              <w:pStyle w:val="TableParagraph"/>
              <w:spacing w:line="254" w:lineRule="exact" w:before="158"/>
              <w:ind w:left="50"/>
              <w:rPr>
                <w:sz w:val="24"/>
              </w:rPr>
            </w:pPr>
            <w:r>
              <w:rPr>
                <w:sz w:val="24"/>
              </w:rPr>
              <w:t>总由三无上</w:t>
            </w:r>
          </w:p>
        </w:tc>
        <w:tc>
          <w:tcPr>
            <w:tcW w:w="1871" w:type="dxa"/>
          </w:tcPr>
          <w:p>
            <w:pPr>
              <w:pStyle w:val="TableParagraph"/>
              <w:spacing w:line="254" w:lineRule="exact" w:before="158"/>
              <w:ind w:left="239"/>
              <w:rPr>
                <w:sz w:val="24"/>
              </w:rPr>
            </w:pPr>
            <w:r>
              <w:rPr>
                <w:sz w:val="24"/>
              </w:rPr>
              <w:t>说为无上乘</w:t>
            </w:r>
          </w:p>
        </w:tc>
        <w:tc>
          <w:tcPr>
            <w:tcW w:w="2161" w:type="dxa"/>
          </w:tcPr>
          <w:p>
            <w:pPr>
              <w:pStyle w:val="TableParagraph"/>
              <w:rPr>
                <w:rFonts w:ascii="Times New Roman"/>
                <w:sz w:val="24"/>
              </w:rPr>
            </w:pPr>
          </w:p>
        </w:tc>
      </w:tr>
    </w:tbl>
    <w:p>
      <w:pPr>
        <w:spacing w:after="0"/>
        <w:rPr>
          <w:rFonts w:ascii="Times New Roman"/>
          <w:sz w:val="24"/>
        </w:rPr>
        <w:sectPr>
          <w:pgSz w:w="12240" w:h="15840"/>
          <w:pgMar w:top="580" w:bottom="280" w:left="580" w:right="640"/>
        </w:sectPr>
      </w:pPr>
    </w:p>
    <w:p>
      <w:pPr>
        <w:pStyle w:val="BodyText"/>
        <w:spacing w:line="362" w:lineRule="auto" w:before="91"/>
        <w:ind w:right="7204"/>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谓正行所缘   及修证无上正行有六种   谓最胜作意随法离二边   差别无差别最胜有十二   谓广大长时依处及无尽   无间无难性自在摄发起   得等流究竟由斯说十度   名波罗蜜多十波罗蜜多   谓施戒安忍精进定般若   方便愿力智饶益不害受   增德能入脱无尽常起定   受用成熟他菩萨以三慧   恒思惟大乘如所施设法   名作意正行此增长善界   入义及事成此助伴应知   即十种法行谓书写供养   施供听披读受持正开演   讽诵及思修行十法行者   获福聚无量胜故无尽故   由摄他不息随法行二种   谓诸无散乱无颠倒转变   诸菩萨应知出定于境流   味沉掉矫示我执心下劣   诸智者应知智见于文义   作意及不动二相染净客   无怖高无倒知但由相应   串习或翻此有义及非有   是于文无倒似二性显现   如现实非有知离有非有   是于义无倒于作意无倒   知彼言熏习言作意彼依 现似二因故</w:t>
      </w:r>
    </w:p>
    <w:p>
      <w:pPr>
        <w:spacing w:after="0" w:line="362" w:lineRule="auto"/>
        <w:jc w:val="both"/>
        <w:sectPr>
          <w:pgSz w:w="12240" w:h="15840"/>
          <w:pgMar w:top="580" w:bottom="280" w:left="580" w:right="640"/>
        </w:sectPr>
      </w:pPr>
    </w:p>
    <w:p>
      <w:pPr>
        <w:pStyle w:val="BodyText"/>
        <w:spacing w:line="362" w:lineRule="auto" w:before="92"/>
        <w:ind w:right="7204"/>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于不动无倒   谓知义非有非无如幻等   有无不动故于自相无倒   知一切唯名离一切分别   依胜义自相以离真法界   无别有一法故通达此者   于共相无倒知颠倒作意   未灭及已灭于法界杂染   清净无颠倒知法界本性   清净如虚空故染净非主   是于客无倒有情法无故   染净性俱无知此无怖高   是于二无倒异性与一性   外道及声闻增益损减边   有情法各二所治及能治   常住与断灭所取能取边   染净二三种分别二边性   应知复有七谓有非有边   所能寂怖畏所能取正邪   有用并无用不起及时等   是分别二边差别无差别   应知于十地十波罗蜜多   增上等修集所缘谓安界   所能立任持印内持通达   增证运最胜修证谓无阙   不毁动圆满起坚固调柔   不住无障息此论辩中边   深密坚实义广大一切义 除诸不吉祥</w:t>
      </w:r>
    </w:p>
    <w:p>
      <w:pPr>
        <w:pStyle w:val="BodyText"/>
        <w:spacing w:before="12"/>
        <w:ind w:left="0"/>
        <w:rPr>
          <w:sz w:val="25"/>
        </w:rPr>
      </w:pPr>
    </w:p>
    <w:p>
      <w:pPr>
        <w:pStyle w:val="BodyText"/>
        <w:spacing w:line="324" w:lineRule="auto" w:before="66"/>
        <w:ind w:left="873" w:right="5339"/>
      </w:pPr>
      <w:r>
        <w:rPr/>
        <w:pict>
          <v:shape style="position:absolute;margin-left:62.637798pt;margin-top:10.494471pt;width:3.25pt;height:3.25pt;mso-position-horizontal-relative:page;mso-position-vertical-relative:paragraph;z-index:251672576" coordorigin="1253,210" coordsize="65,65" path="m1285,274l1271,272,1261,266,1255,256,1253,242,1255,228,1261,218,1271,212,1285,210,1299,212,1309,218,1315,228,1317,242,1315,256,1309,266,1299,272,1285,274xe" filled="true" fillcolor="#000000" stroked="false">
            <v:path arrowok="t"/>
            <v:fill type="solid"/>
            <w10:wrap type="none"/>
          </v:shape>
        </w:pict>
      </w:r>
      <w:r>
        <w:rPr/>
        <w:pict>
          <v:shape style="position:absolute;margin-left:62.637798pt;margin-top:31.317869pt;width:3.25pt;height:3.25pt;mso-position-horizontal-relative:page;mso-position-vertical-relative:paragraph;z-index:251673600" coordorigin="1253,626" coordsize="65,65" path="m1285,690l1271,688,1261,682,1255,672,1253,658,1255,644,1261,634,1271,628,1285,626,1299,628,1309,634,1315,644,1317,658,1315,672,1309,682,1299,688,1285,690xe" filled="true" fillcolor="#000000" stroked="false">
            <v:path arrowok="t"/>
            <v:fill type="solid"/>
            <w10:wrap type="none"/>
          </v:shape>
        </w:pict>
      </w:r>
      <w:hyperlink r:id="rId5">
        <w:r>
          <w:rPr>
            <w:color w:val="878787"/>
          </w:rPr>
          <w:t>上一部：乾隆大藏经·大乘论·辩中边论三卷</w:t>
        </w:r>
      </w:hyperlink>
      <w:hyperlink r:id="rId6">
        <w:r>
          <w:rPr>
            <w:color w:val="878787"/>
          </w:rPr>
          <w:t>下一部：乾隆大藏经·大乘论·顺中论二卷</w:t>
        </w:r>
      </w:hyperlink>
    </w:p>
    <w:p>
      <w:pPr>
        <w:spacing w:after="0" w:line="324" w:lineRule="auto"/>
        <w:sectPr>
          <w:pgSz w:w="12240" w:h="15840"/>
          <w:pgMar w:top="580" w:bottom="280" w:left="580" w:right="640"/>
        </w:sectPr>
      </w:pPr>
    </w:p>
    <w:p>
      <w:pPr>
        <w:tabs>
          <w:tab w:pos="10892" w:val="left" w:leader="none"/>
        </w:tabs>
        <w:spacing w:line="133" w:lineRule="exact"/>
        <w:ind w:left="112" w:right="0" w:firstLine="0"/>
        <w:rPr>
          <w:sz w:val="13"/>
        </w:rPr>
      </w:pPr>
      <w:r>
        <w:rPr>
          <w:position w:val="-2"/>
          <w:sz w:val="13"/>
        </w:rPr>
        <w:pict>
          <v:group style="width:.85pt;height:6.7pt;mso-position-horizontal-relative:char;mso-position-vertical-relative:line" coordorigin="0,0" coordsize="17,134">
            <v:rect style="position:absolute;left:0;top:0;width:17;height:134" filled="true" fillcolor="#000000" stroked="false">
              <v:fill type="solid"/>
            </v:rect>
          </v:group>
        </w:pict>
      </w:r>
      <w:r>
        <w:rPr>
          <w:position w:val="-2"/>
          <w:sz w:val="13"/>
        </w:rPr>
      </w:r>
      <w:r>
        <w:rPr>
          <w:position w:val="-2"/>
          <w:sz w:val="13"/>
        </w:rPr>
        <w:tab/>
      </w:r>
      <w:r>
        <w:rPr>
          <w:position w:val="-2"/>
          <w:sz w:val="13"/>
        </w:rPr>
        <w:pict>
          <v:group style="width:.85pt;height:6.7pt;mso-position-horizontal-relative:char;mso-position-vertical-relative:line" coordorigin="0,0" coordsize="17,134">
            <v:rect style="position:absolute;left:0;top:0;width:17;height:134" filled="true" fillcolor="#000000" stroked="false">
              <v:fill type="solid"/>
            </v:rect>
          </v:group>
        </w:pict>
      </w:r>
      <w:r>
        <w:rPr>
          <w:position w:val="-2"/>
          <w:sz w:val="13"/>
        </w:rPr>
      </w:r>
    </w:p>
    <w:p>
      <w:pPr>
        <w:pStyle w:val="BodyText"/>
        <w:spacing w:before="0"/>
        <w:ind w:left="112"/>
        <w:rPr>
          <w:sz w:val="20"/>
        </w:rPr>
      </w:pPr>
      <w:r>
        <w:rPr>
          <w:position w:val="0"/>
          <w:sz w:val="20"/>
        </w:rPr>
        <w:pict>
          <v:shapetype id="_x0000_t202" o:spt="202" coordsize="21600,21600" path="m,l,21600r21600,l21600,xe">
            <v:stroke joinstyle="miter"/>
            <v:path gradientshapeok="t" o:connecttype="rect"/>
          </v:shapetype>
          <v:shape style="width:539.050pt;height:22.45pt;mso-position-horizontal-relative:char;mso-position-vertical-relative:line" type="#_x0000_t202" filled="true" fillcolor="#ff9933" stroked="true" strokeweight=".80090pt" strokecolor="#000000">
            <w10:anchorlock/>
            <v:textbox inset="0,0,0,0">
              <w:txbxContent>
                <w:p>
                  <w:pPr>
                    <w:pStyle w:val="BodyText"/>
                    <w:spacing w:before="64"/>
                    <w:ind w:left="3563" w:right="3561"/>
                    <w:jc w:val="center"/>
                  </w:pPr>
                  <w:r>
                    <w:rPr>
                      <w:color w:val="DDDDDD"/>
                    </w:rPr>
                    <w:t>乾隆大藏经·大乘论·辩中边论颂</w:t>
                  </w:r>
                </w:p>
              </w:txbxContent>
            </v:textbox>
            <v:fill type="solid"/>
            <v:stroke dashstyle="solid"/>
          </v:shape>
        </w:pict>
      </w:r>
      <w:r>
        <w:rPr>
          <w:position w:val="0"/>
          <w:sz w:val="20"/>
        </w:rPr>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71"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659" w:hanging="369"/>
      </w:pPr>
      <w:rPr>
        <w:rFonts w:hint="default"/>
        <w:lang w:val="zh-CN" w:eastAsia="zh-CN" w:bidi="zh-CN"/>
      </w:rPr>
    </w:lvl>
    <w:lvl w:ilvl="2">
      <w:start w:val="0"/>
      <w:numFmt w:val="bullet"/>
      <w:lvlText w:val="•"/>
      <w:lvlJc w:val="left"/>
      <w:pPr>
        <w:ind w:left="838" w:hanging="369"/>
      </w:pPr>
      <w:rPr>
        <w:rFonts w:hint="default"/>
        <w:lang w:val="zh-CN" w:eastAsia="zh-CN" w:bidi="zh-CN"/>
      </w:rPr>
    </w:lvl>
    <w:lvl w:ilvl="3">
      <w:start w:val="0"/>
      <w:numFmt w:val="bullet"/>
      <w:lvlText w:val="•"/>
      <w:lvlJc w:val="left"/>
      <w:pPr>
        <w:ind w:left="1018" w:hanging="369"/>
      </w:pPr>
      <w:rPr>
        <w:rFonts w:hint="default"/>
        <w:lang w:val="zh-CN" w:eastAsia="zh-CN" w:bidi="zh-CN"/>
      </w:rPr>
    </w:lvl>
    <w:lvl w:ilvl="4">
      <w:start w:val="0"/>
      <w:numFmt w:val="bullet"/>
      <w:lvlText w:val="•"/>
      <w:lvlJc w:val="left"/>
      <w:pPr>
        <w:ind w:left="1197" w:hanging="369"/>
      </w:pPr>
      <w:rPr>
        <w:rFonts w:hint="default"/>
        <w:lang w:val="zh-CN" w:eastAsia="zh-CN" w:bidi="zh-CN"/>
      </w:rPr>
    </w:lvl>
    <w:lvl w:ilvl="5">
      <w:start w:val="0"/>
      <w:numFmt w:val="bullet"/>
      <w:lvlText w:val="•"/>
      <w:lvlJc w:val="left"/>
      <w:pPr>
        <w:ind w:left="1377" w:hanging="369"/>
      </w:pPr>
      <w:rPr>
        <w:rFonts w:hint="default"/>
        <w:lang w:val="zh-CN" w:eastAsia="zh-CN" w:bidi="zh-CN"/>
      </w:rPr>
    </w:lvl>
    <w:lvl w:ilvl="6">
      <w:start w:val="0"/>
      <w:numFmt w:val="bullet"/>
      <w:lvlText w:val="•"/>
      <w:lvlJc w:val="left"/>
      <w:pPr>
        <w:ind w:left="1556" w:hanging="369"/>
      </w:pPr>
      <w:rPr>
        <w:rFonts w:hint="default"/>
        <w:lang w:val="zh-CN" w:eastAsia="zh-CN" w:bidi="zh-CN"/>
      </w:rPr>
    </w:lvl>
    <w:lvl w:ilvl="7">
      <w:start w:val="0"/>
      <w:numFmt w:val="bullet"/>
      <w:lvlText w:val="•"/>
      <w:lvlJc w:val="left"/>
      <w:pPr>
        <w:ind w:left="1735" w:hanging="369"/>
      </w:pPr>
      <w:rPr>
        <w:rFonts w:hint="default"/>
        <w:lang w:val="zh-CN" w:eastAsia="zh-CN" w:bidi="zh-CN"/>
      </w:rPr>
    </w:lvl>
    <w:lvl w:ilvl="8">
      <w:start w:val="0"/>
      <w:numFmt w:val="bullet"/>
      <w:lvlText w:val="•"/>
      <w:lvlJc w:val="left"/>
      <w:pPr>
        <w:ind w:left="1915" w:hanging="369"/>
      </w:pPr>
      <w:rPr>
        <w:rFonts w:hint="default"/>
        <w:lang w:val="zh-CN" w:eastAsia="zh-CN" w:bidi="zh-CN"/>
      </w:rPr>
    </w:lvl>
  </w:abstractNum>
  <w:abstractNum w:abstractNumId="1">
    <w:multiLevelType w:val="hybridMultilevel"/>
    <w:lvl w:ilvl="0">
      <w:start w:val="0"/>
      <w:numFmt w:val="bullet"/>
      <w:lvlText w:val="·"/>
      <w:lvlJc w:val="left"/>
      <w:pPr>
        <w:ind w:left="44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531" w:hanging="369"/>
      </w:pPr>
      <w:rPr>
        <w:rFonts w:hint="default"/>
        <w:lang w:val="zh-CN" w:eastAsia="zh-CN" w:bidi="zh-CN"/>
      </w:rPr>
    </w:lvl>
    <w:lvl w:ilvl="2">
      <w:start w:val="0"/>
      <w:numFmt w:val="bullet"/>
      <w:lvlText w:val="•"/>
      <w:lvlJc w:val="left"/>
      <w:pPr>
        <w:ind w:left="623" w:hanging="369"/>
      </w:pPr>
      <w:rPr>
        <w:rFonts w:hint="default"/>
        <w:lang w:val="zh-CN" w:eastAsia="zh-CN" w:bidi="zh-CN"/>
      </w:rPr>
    </w:lvl>
    <w:lvl w:ilvl="3">
      <w:start w:val="0"/>
      <w:numFmt w:val="bullet"/>
      <w:lvlText w:val="•"/>
      <w:lvlJc w:val="left"/>
      <w:pPr>
        <w:ind w:left="715" w:hanging="369"/>
      </w:pPr>
      <w:rPr>
        <w:rFonts w:hint="default"/>
        <w:lang w:val="zh-CN" w:eastAsia="zh-CN" w:bidi="zh-CN"/>
      </w:rPr>
    </w:lvl>
    <w:lvl w:ilvl="4">
      <w:start w:val="0"/>
      <w:numFmt w:val="bullet"/>
      <w:lvlText w:val="•"/>
      <w:lvlJc w:val="left"/>
      <w:pPr>
        <w:ind w:left="807" w:hanging="369"/>
      </w:pPr>
      <w:rPr>
        <w:rFonts w:hint="default"/>
        <w:lang w:val="zh-CN" w:eastAsia="zh-CN" w:bidi="zh-CN"/>
      </w:rPr>
    </w:lvl>
    <w:lvl w:ilvl="5">
      <w:start w:val="0"/>
      <w:numFmt w:val="bullet"/>
      <w:lvlText w:val="•"/>
      <w:lvlJc w:val="left"/>
      <w:pPr>
        <w:ind w:left="899" w:hanging="369"/>
      </w:pPr>
      <w:rPr>
        <w:rFonts w:hint="default"/>
        <w:lang w:val="zh-CN" w:eastAsia="zh-CN" w:bidi="zh-CN"/>
      </w:rPr>
    </w:lvl>
    <w:lvl w:ilvl="6">
      <w:start w:val="0"/>
      <w:numFmt w:val="bullet"/>
      <w:lvlText w:val="•"/>
      <w:lvlJc w:val="left"/>
      <w:pPr>
        <w:ind w:left="991" w:hanging="369"/>
      </w:pPr>
      <w:rPr>
        <w:rFonts w:hint="default"/>
        <w:lang w:val="zh-CN" w:eastAsia="zh-CN" w:bidi="zh-CN"/>
      </w:rPr>
    </w:lvl>
    <w:lvl w:ilvl="7">
      <w:start w:val="0"/>
      <w:numFmt w:val="bullet"/>
      <w:lvlText w:val="•"/>
      <w:lvlJc w:val="left"/>
      <w:pPr>
        <w:ind w:left="1083" w:hanging="369"/>
      </w:pPr>
      <w:rPr>
        <w:rFonts w:hint="default"/>
        <w:lang w:val="zh-CN" w:eastAsia="zh-CN" w:bidi="zh-CN"/>
      </w:rPr>
    </w:lvl>
    <w:lvl w:ilvl="8">
      <w:start w:val="0"/>
      <w:numFmt w:val="bullet"/>
      <w:lvlText w:val="•"/>
      <w:lvlJc w:val="left"/>
      <w:pPr>
        <w:ind w:left="1175" w:hanging="369"/>
      </w:pPr>
      <w:rPr>
        <w:rFonts w:hint="default"/>
        <w:lang w:val="zh-CN" w:eastAsia="zh-CN" w:bidi="zh-CN"/>
      </w:rPr>
    </w:lvl>
  </w:abstractNum>
  <w:abstractNum w:abstractNumId="0">
    <w:multiLevelType w:val="hybridMultilevel"/>
    <w:lvl w:ilvl="0">
      <w:start w:val="0"/>
      <w:numFmt w:val="bullet"/>
      <w:lvlText w:val="·"/>
      <w:lvlJc w:val="left"/>
      <w:pPr>
        <w:ind w:left="54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728" w:hanging="369"/>
      </w:pPr>
      <w:rPr>
        <w:rFonts w:hint="default"/>
        <w:lang w:val="zh-CN" w:eastAsia="zh-CN" w:bidi="zh-CN"/>
      </w:rPr>
    </w:lvl>
    <w:lvl w:ilvl="2">
      <w:start w:val="0"/>
      <w:numFmt w:val="bullet"/>
      <w:lvlText w:val="•"/>
      <w:lvlJc w:val="left"/>
      <w:pPr>
        <w:ind w:left="916" w:hanging="369"/>
      </w:pPr>
      <w:rPr>
        <w:rFonts w:hint="default"/>
        <w:lang w:val="zh-CN" w:eastAsia="zh-CN" w:bidi="zh-CN"/>
      </w:rPr>
    </w:lvl>
    <w:lvl w:ilvl="3">
      <w:start w:val="0"/>
      <w:numFmt w:val="bullet"/>
      <w:lvlText w:val="•"/>
      <w:lvlJc w:val="left"/>
      <w:pPr>
        <w:ind w:left="1104" w:hanging="369"/>
      </w:pPr>
      <w:rPr>
        <w:rFonts w:hint="default"/>
        <w:lang w:val="zh-CN" w:eastAsia="zh-CN" w:bidi="zh-CN"/>
      </w:rPr>
    </w:lvl>
    <w:lvl w:ilvl="4">
      <w:start w:val="0"/>
      <w:numFmt w:val="bullet"/>
      <w:lvlText w:val="•"/>
      <w:lvlJc w:val="left"/>
      <w:pPr>
        <w:ind w:left="1292" w:hanging="369"/>
      </w:pPr>
      <w:rPr>
        <w:rFonts w:hint="default"/>
        <w:lang w:val="zh-CN" w:eastAsia="zh-CN" w:bidi="zh-CN"/>
      </w:rPr>
    </w:lvl>
    <w:lvl w:ilvl="5">
      <w:start w:val="0"/>
      <w:numFmt w:val="bullet"/>
      <w:lvlText w:val="•"/>
      <w:lvlJc w:val="left"/>
      <w:pPr>
        <w:ind w:left="1481" w:hanging="369"/>
      </w:pPr>
      <w:rPr>
        <w:rFonts w:hint="default"/>
        <w:lang w:val="zh-CN" w:eastAsia="zh-CN" w:bidi="zh-CN"/>
      </w:rPr>
    </w:lvl>
    <w:lvl w:ilvl="6">
      <w:start w:val="0"/>
      <w:numFmt w:val="bullet"/>
      <w:lvlText w:val="•"/>
      <w:lvlJc w:val="left"/>
      <w:pPr>
        <w:ind w:left="1669" w:hanging="369"/>
      </w:pPr>
      <w:rPr>
        <w:rFonts w:hint="default"/>
        <w:lang w:val="zh-CN" w:eastAsia="zh-CN" w:bidi="zh-CN"/>
      </w:rPr>
    </w:lvl>
    <w:lvl w:ilvl="7">
      <w:start w:val="0"/>
      <w:numFmt w:val="bullet"/>
      <w:lvlText w:val="•"/>
      <w:lvlJc w:val="left"/>
      <w:pPr>
        <w:ind w:left="1857" w:hanging="369"/>
      </w:pPr>
      <w:rPr>
        <w:rFonts w:hint="default"/>
        <w:lang w:val="zh-CN" w:eastAsia="zh-CN" w:bidi="zh-CN"/>
      </w:rPr>
    </w:lvl>
    <w:lvl w:ilvl="8">
      <w:start w:val="0"/>
      <w:numFmt w:val="bullet"/>
      <w:lvlText w:val="•"/>
      <w:lvlJc w:val="left"/>
      <w:pPr>
        <w:ind w:left="2045"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7"/>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38.htm" TargetMode="External"/><Relationship Id="rId6" Type="http://schemas.openxmlformats.org/officeDocument/2006/relationships/hyperlink" Target="http://qldzj.com/htmljw/1240.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2019-12-18T13:53:36Z</dcterms:created>
  <dcterms:modified xsi:type="dcterms:W3CDTF">2019-12-18T13:53:36Z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