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78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1249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掌中论一卷</w:t>
              <w:tab/>
            </w:r>
            <w:r>
              <w:rPr>
                <w:color w:val="DDDDDD"/>
                <w:sz w:val="24"/>
              </w:rPr>
              <w:t>陈那菩萨造唐三藏法师义</w:t>
            </w:r>
            <w:r>
              <w:rPr>
                <w:color w:val="DDDDDD"/>
                <w:spacing w:val="-14"/>
                <w:sz w:val="24"/>
              </w:rPr>
              <w:t>净</w:t>
            </w:r>
            <w:r>
              <w:rPr>
                <w:color w:val="DDDDDD"/>
                <w:sz w:val="24"/>
              </w:rPr>
              <w:t>奉制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掌中论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5009" w:right="49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掌中论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right="339" w:firstLine="480"/>
              <w:rPr>
                <w:sz w:val="24"/>
              </w:rPr>
            </w:pPr>
            <w:r>
              <w:rPr>
                <w:sz w:val="24"/>
              </w:rPr>
              <w:t>论曰。谓于三界但有假名。实无外境。由妄执故。今欲为彼未证真者。决择诸法自性之门。令无倒解故造斯论。颂曰。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left="808" w:right="7066"/>
              <w:rPr>
                <w:sz w:val="24"/>
              </w:rPr>
            </w:pPr>
            <w:r>
              <w:rPr>
                <w:sz w:val="24"/>
              </w:rPr>
              <w:t>于绳作蛇解</w:t>
              <w:tab/>
              <w:t>见绳知境</w:t>
            </w:r>
            <w:r>
              <w:rPr>
                <w:spacing w:val="-15"/>
                <w:sz w:val="24"/>
              </w:rPr>
              <w:t>无</w:t>
            </w:r>
            <w:r>
              <w:rPr>
                <w:sz w:val="24"/>
              </w:rPr>
              <w:t>若了彼分时</w:t>
              <w:tab/>
              <w:t>知如蛇解</w:t>
            </w:r>
            <w:r>
              <w:rPr>
                <w:spacing w:val="-15"/>
                <w:sz w:val="24"/>
              </w:rPr>
              <w:t>谬</w:t>
            </w:r>
          </w:p>
          <w:p>
            <w:pPr>
              <w:pStyle w:val="TableParagraph"/>
              <w:spacing w:line="362" w:lineRule="auto" w:before="160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论曰。如于非远不分明处唯见绳蛇相似之事。未能了彼差别自性。被惑乱故。定执为蛇。后时了彼差别法已。知由妄执诳乱生故。但是错解无有实事。复于绳处支分差别。善观察时。绳之自体。亦不可得。如是知已。所有绳解。犹如蛇觉。唯有妄识。如于绳处有惑乱识。亦于彼分毫厘等处。知相假藉。无实可得。是故缘绳及分等心。所有相状。但唯妄识。颂曰。</w:t>
            </w:r>
          </w:p>
          <w:p>
            <w:pPr>
              <w:pStyle w:val="TableParagraph"/>
              <w:spacing w:line="362" w:lineRule="auto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诸有假设事   详观自性时从他皆假名 乃至世俗境</w:t>
            </w: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论曰。如于绳等支分之处。别别分析。审观察时。知无实体。唯是妄心。如是应知。一切诸法。但是假名。如瓶衣等物。藉埿缕等成。乃至言说识所行境未至破坏。名为瓶等。言从他者。谓从世俗言说而有。非于胜义。颂曰。</w:t>
            </w:r>
          </w:p>
          <w:p>
            <w:pPr>
              <w:pStyle w:val="TableParagraph"/>
              <w:spacing w:line="362" w:lineRule="auto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无分非见故   至极同非有但由惑乱心 智者不应执</w:t>
            </w:r>
          </w:p>
          <w:p>
            <w:pPr>
              <w:pStyle w:val="TableParagraph"/>
              <w:spacing w:line="362" w:lineRule="auto" w:before="176"/>
              <w:ind w:right="339" w:firstLine="480"/>
              <w:rPr>
                <w:sz w:val="24"/>
              </w:rPr>
            </w:pPr>
            <w:r>
              <w:rPr>
                <w:sz w:val="24"/>
              </w:rPr>
              <w:t>论曰。若复执云。诸有假事。至极微位不可分析。复无方分是实有者。此即犹如空花。及兔角等。不可见故。无力能生缘彼识故。所执极微。定非实有。所以须说不可见因。由彼不能安立极微。成实有故。所以者何。由有方分事差别故。犹如现见有瓶衣等物。东西北等。方分别故。斯皆现有。支分可得。若言极微是现有者。必有方分。别异性故。是则应许东西北等。支分别 故。此实极微理不成就。亦非一体。多分成故。见事别故。一实极微定不可得。如是应舍极微之论。是故智者了知三界咸是妄情。欲求妙理不应执实。颂曰。</w:t>
            </w:r>
          </w:p>
          <w:p>
            <w:pPr>
              <w:pStyle w:val="TableParagraph"/>
              <w:tabs>
                <w:tab w:pos="2489" w:val="left" w:leader="none"/>
              </w:tabs>
              <w:spacing w:line="460" w:lineRule="atLeast" w:before="9"/>
              <w:ind w:left="808" w:right="7066"/>
              <w:rPr>
                <w:sz w:val="24"/>
              </w:rPr>
            </w:pPr>
            <w:r>
              <w:rPr>
                <w:sz w:val="24"/>
              </w:rPr>
              <w:t>妄有非实故</w:t>
              <w:tab/>
              <w:t>与所见不</w:t>
            </w:r>
            <w:r>
              <w:rPr>
                <w:spacing w:val="-15"/>
                <w:sz w:val="24"/>
              </w:rPr>
              <w:t>同</w:t>
            </w:r>
            <w:r>
              <w:rPr>
                <w:sz w:val="24"/>
              </w:rPr>
              <w:t>由境相虚妄</w:t>
              <w:tab/>
              <w:t>能缘亦非</w:t>
            </w:r>
            <w:r>
              <w:rPr>
                <w:spacing w:val="-15"/>
                <w:sz w:val="24"/>
              </w:rPr>
              <w:t>有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left="449" w:right="477" w:firstLine="480"/>
        <w:jc w:val="both"/>
      </w:pPr>
      <w:r>
        <w:rPr/>
        <w:pict>
          <v:group style="position:absolute;margin-left:34.6063pt;margin-top:28.999924pt;width:539.85pt;height:471pt;mso-position-horizontal-relative:page;mso-position-vertical-relative:page;z-index:-251728896" coordorigin="692,580" coordsize="10797,9420">
            <v:line style="position:absolute" from="11480,580" to="11480,9535" stroked="true" strokeweight=".80090pt" strokecolor="#000000">
              <v:stroke dashstyle="solid"/>
            </v:line>
            <v:line style="position:absolute" from="700,580" to="700,9535" stroked="true" strokeweight=".80090pt" strokecolor="#000000">
              <v:stroke dashstyle="solid"/>
            </v:line>
            <v:rect style="position:absolute;left:692;top:9534;width:10797;height:465" filled="true" fillcolor="#ff9933" stroked="false">
              <v:fill type="solid"/>
            </v:rect>
            <v:rect style="position:absolute;left:700;top:9542;width:10781;height:449" filled="false" stroked="true" strokeweight=".80090pt" strokecolor="#000000">
              <v:stroke dashstyle="solid"/>
            </v:rect>
            <v:shape style="position:absolute;left:1252;top:8349;width:65;height:481" coordorigin="1253,8349" coordsize="65,481" path="m1317,8798l1315,8784,1309,8774,1299,8768,1285,8766,1271,8768,1261,8774,1255,8784,1253,8798,1255,8812,1261,8822,1271,8828,1285,8830,1299,8828,1309,8822,1315,8812,1317,8798m1317,8381l1315,8367,1309,8357,1299,8351,1285,8349,1271,8351,1261,8357,1255,8367,1253,8381,1255,8395,1261,8405,1271,8411,1285,8413,1299,8411,1309,8405,1315,8395,1317,838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论曰。若言我亦于彼瓶衣等事。许彼自性是不可得。皆是妄识之所分别。然而缘彼相状乱识是其实有。观健达婆城。及幻人等。其识是有。设有此识。亦非实故。与所见事不相应故。此惑乱识。于所缘境。作有性解。彼事自性已明非有。境既是无。能缘妄识亦非实有。云何令彼妄识有耶。然于世间不曾见有无能生种子有所生芽等。由斯汝说幻城等喻道理不成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斯皆是假设   善觉者能知智人断烦恼 易若除蛇怖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论曰。如说三界但有假名。瓶等粗觉既除遣已。知从名言而有其事。善观察者。能了知已。即于绳处蛇怖除遣。复审思惟了彼差别于绳等处妄执亦无。如是观时。一切能生离染之法。易速蠲除烦恼罗网。及诸业果自当断灭。有别颂曰。</w:t>
      </w:r>
    </w:p>
    <w:p>
      <w:pPr>
        <w:pStyle w:val="BodyText"/>
        <w:spacing w:line="362" w:lineRule="auto"/>
        <w:ind w:left="930" w:right="7204"/>
        <w:jc w:val="both"/>
      </w:pPr>
      <w:r>
        <w:rPr>
          <w:spacing w:val="-2"/>
        </w:rPr>
        <w:t>智人观俗事   当随俗所行</w:t>
      </w:r>
      <w:r>
        <w:rPr>
          <w:spacing w:val="-1"/>
        </w:rPr>
        <w:t>欲求烦恼断    要明真胜义</w:t>
      </w:r>
    </w:p>
    <w:p>
      <w:pPr>
        <w:pStyle w:val="BodyText"/>
        <w:spacing w:line="362" w:lineRule="auto"/>
        <w:ind w:left="449" w:right="477" w:firstLine="480"/>
      </w:pPr>
      <w:r>
        <w:rPr/>
        <w:t>犹如世人于诸俗事瓶衣等处。以为实有名瓶衣等。智者亦尔。当顺世间而兴言说。知非实 有。若乐观察烦恼过失。求解脱者。宜于如是真胜义中。周遍推寻。如理作意。于诸境处。及能缘妄。识烦恼系缚。不复生长。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24" w:lineRule="auto" w:before="66"/>
        <w:ind w:left="873" w:right="5339"/>
      </w:pPr>
      <w:hyperlink r:id="rId5">
        <w:r>
          <w:rPr>
            <w:color w:val="878787"/>
          </w:rPr>
          <w:t>上一部：乾隆大藏经·大乘论·解拳论一卷</w:t>
        </w:r>
      </w:hyperlink>
      <w:hyperlink r:id="rId6">
        <w:r>
          <w:rPr>
            <w:color w:val="878787"/>
          </w:rPr>
          <w:t> 下一部：乾隆大藏经·大乘论·</w:t>
        </w:r>
        <w:r>
          <w:rPr>
            <w:color w:val="878787"/>
            <w:spacing w:val="-2"/>
          </w:rPr>
          <w:t>方便心论一卷</w:t>
        </w:r>
      </w:hyperlink>
    </w:p>
    <w:p>
      <w:pPr>
        <w:pStyle w:val="BodyText"/>
        <w:spacing w:before="0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0"/>
        <w:ind w:left="3931" w:right="3928"/>
        <w:jc w:val="center"/>
      </w:pPr>
      <w:r>
        <w:rPr>
          <w:color w:val="DDDDDD"/>
        </w:rPr>
        <w:t>乾隆大藏经·大乘论·掌中论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61"/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48.htm" TargetMode="External"/><Relationship Id="rId6" Type="http://schemas.openxmlformats.org/officeDocument/2006/relationships/hyperlink" Target="http://qldzj.com/htmljw/125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2019-12-18T13:57:09Z</dcterms:created>
  <dcterms:modified xsi:type="dcterms:W3CDTF">2019-12-18T13:57:09Z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